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1424">
      <w:pPr>
        <w:keepNext w:val="0"/>
        <w:keepLines w:val="0"/>
        <w:pageBreakBefore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lang w:val="en-US" w:eastAsia="zh-CN"/>
        </w:rPr>
        <w:t>关于组织第十届海峡两岸青少年创客大赛</w:t>
      </w:r>
    </w:p>
    <w:p w14:paraId="614CEB47">
      <w:pPr>
        <w:keepNext w:val="0"/>
        <w:keepLines w:val="0"/>
        <w:pageBreakBefore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lang w:val="en-US" w:eastAsia="zh-CN"/>
        </w:rPr>
        <w:t>暨第十一届上海创客新星大赛（少年组）奉贤区选拔赛的通知</w:t>
      </w:r>
    </w:p>
    <w:p w14:paraId="4EF475F5">
      <w:pPr>
        <w:keepNext w:val="0"/>
        <w:keepLines w:val="0"/>
        <w:pageBreakBefore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（本赛事为奉贤区“七彩成长”成果认定项目）</w:t>
      </w:r>
    </w:p>
    <w:p w14:paraId="5115044F">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jc w:val="both"/>
        <w:textAlignment w:val="auto"/>
        <w:rPr>
          <w:rFonts w:hint="eastAsia" w:ascii="黑体" w:hAnsi="黑体" w:eastAsia="黑体" w:cs="Times New Roman"/>
          <w:b/>
          <w:bCs/>
          <w:kern w:val="2"/>
          <w:sz w:val="24"/>
          <w:szCs w:val="24"/>
          <w:lang w:val="en-US" w:eastAsia="zh-CN" w:bidi="ar-SA"/>
        </w:rPr>
      </w:pPr>
    </w:p>
    <w:p w14:paraId="2F0A3009">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各中小学（含中职校）：</w:t>
      </w:r>
    </w:p>
    <w:p w14:paraId="7A42A82D">
      <w:pPr>
        <w:keepNext w:val="0"/>
        <w:keepLines w:val="0"/>
        <w:pageBreakBefore w:val="0"/>
        <w:widowControl/>
        <w:kinsoku/>
        <w:wordWrap/>
        <w:overflowPunct/>
        <w:topLinePunct w:val="0"/>
        <w:autoSpaceDE/>
        <w:autoSpaceDN/>
        <w:bidi w:val="0"/>
        <w:adjustRightInd/>
        <w:snapToGrid/>
        <w:spacing w:line="340" w:lineRule="exact"/>
        <w:ind w:left="0" w:leftChars="0" w:firstLine="480" w:firstLineChars="200"/>
        <w:jc w:val="both"/>
        <w:textAlignment w:val="auto"/>
        <w:rPr>
          <w:rFonts w:hint="eastAsia" w:asciiTheme="minorEastAsia" w:hAnsiTheme="minorEastAsia" w:eastAsiaTheme="minorEastAsia" w:cstheme="minorEastAsia"/>
          <w:b w:val="0"/>
          <w:bCs w:val="0"/>
          <w:color w:val="000000"/>
          <w:kern w:val="2"/>
          <w:sz w:val="24"/>
          <w:szCs w:val="24"/>
          <w:lang w:val="en-US" w:eastAsia="zh-CN" w:bidi="ar-SA"/>
        </w:rPr>
      </w:pPr>
      <w:r>
        <w:rPr>
          <w:rFonts w:hint="eastAsia" w:asciiTheme="minorEastAsia" w:hAnsiTheme="minorEastAsia" w:eastAsiaTheme="minorEastAsia" w:cstheme="minorEastAsia"/>
          <w:b w:val="0"/>
          <w:bCs w:val="0"/>
          <w:sz w:val="24"/>
          <w:szCs w:val="24"/>
          <w:lang w:val="en-US" w:eastAsia="zh-CN"/>
        </w:rPr>
        <w:t>为贯彻国家创新驱动战略与两岸融合政策，深化两岸青少年创客教育交流，培养创客文化及创新精神，同济大学、逢甲大学、福州大学及上海市科技艺术教育中心联合举办“第十届海峡两岸青少年创客大赛暨第十一届上海创客新星大赛”。大赛以联合国可持续发展目标为导向，鼓励青少年聚焦社会挑战，融合创新理念与前沿科技，激发创新热情，培养创新精神与实践能力，搭建两岸创客友谊的桥梁。现将奉贤区选拔方案通知如下：</w:t>
      </w:r>
    </w:p>
    <w:p w14:paraId="216A984D">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一、参与对象</w:t>
      </w:r>
    </w:p>
    <w:p w14:paraId="04A0EFB5">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本</w:t>
      </w:r>
      <w:r>
        <w:rPr>
          <w:rFonts w:hint="eastAsia" w:asciiTheme="minorEastAsia" w:hAnsiTheme="minorEastAsia" w:eastAsiaTheme="minorEastAsia" w:cstheme="minorEastAsia"/>
          <w:b w:val="0"/>
          <w:bCs w:val="0"/>
          <w:sz w:val="24"/>
          <w:szCs w:val="24"/>
          <w:lang w:eastAsia="zh-CN"/>
        </w:rPr>
        <w:t>区</w:t>
      </w:r>
      <w:r>
        <w:rPr>
          <w:rFonts w:hint="eastAsia" w:asciiTheme="minorEastAsia" w:hAnsiTheme="minorEastAsia" w:eastAsiaTheme="minorEastAsia" w:cstheme="minorEastAsia"/>
          <w:b w:val="0"/>
          <w:bCs w:val="0"/>
          <w:sz w:val="24"/>
          <w:szCs w:val="24"/>
          <w:lang w:val="en-US" w:eastAsia="zh-CN"/>
        </w:rPr>
        <w:t>在校</w:t>
      </w:r>
      <w:r>
        <w:rPr>
          <w:rFonts w:hint="eastAsia" w:asciiTheme="minorEastAsia" w:hAnsiTheme="minorEastAsia" w:eastAsiaTheme="minorEastAsia" w:cstheme="minorEastAsia"/>
          <w:b w:val="0"/>
          <w:bCs w:val="0"/>
          <w:sz w:val="24"/>
          <w:szCs w:val="24"/>
        </w:rPr>
        <w:t>小学生、初中、高中（含中职）学生。</w:t>
      </w:r>
    </w:p>
    <w:p w14:paraId="656825CE">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二、活动内容</w:t>
      </w:r>
    </w:p>
    <w:p w14:paraId="36909EDE">
      <w:pPr>
        <w:keepNext w:val="0"/>
        <w:keepLines w:val="0"/>
        <w:pageBreakBefore w:val="0"/>
        <w:kinsoku/>
        <w:wordWrap/>
        <w:overflowPunct/>
        <w:topLinePunct w:val="0"/>
        <w:autoSpaceDE/>
        <w:autoSpaceDN/>
        <w:bidi w:val="0"/>
        <w:spacing w:line="34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少年组板块包含4个赛项</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cstheme="minorEastAsia"/>
          <w:b w:val="0"/>
          <w:bCs w:val="0"/>
          <w:sz w:val="24"/>
          <w:szCs w:val="24"/>
          <w:lang w:val="en-US" w:eastAsia="zh-CN"/>
        </w:rPr>
        <w:t>1趣味智造</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cstheme="minorEastAsia"/>
          <w:b w:val="0"/>
          <w:bCs w:val="0"/>
          <w:sz w:val="24"/>
          <w:szCs w:val="24"/>
          <w:lang w:val="en-US" w:eastAsia="zh-CN"/>
        </w:rPr>
        <w:t>2文韵智创，3创客马拉松，4结构挑战</w:t>
      </w:r>
      <w:r>
        <w:rPr>
          <w:rFonts w:hint="eastAsia" w:asciiTheme="minorEastAsia" w:hAnsiTheme="minorEastAsia" w:eastAsiaTheme="minorEastAsia" w:cstheme="minorEastAsia"/>
          <w:b w:val="0"/>
          <w:bCs w:val="0"/>
          <w:sz w:val="24"/>
          <w:szCs w:val="24"/>
          <w:lang w:val="en-US" w:eastAsia="zh-CN"/>
        </w:rPr>
        <w:t>。具体项目如下：</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1"/>
        <w:gridCol w:w="1517"/>
        <w:gridCol w:w="2518"/>
        <w:gridCol w:w="1417"/>
        <w:gridCol w:w="1355"/>
      </w:tblGrid>
      <w:tr w14:paraId="03939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tcPr>
          <w:p w14:paraId="6358BA99">
            <w:pPr>
              <w:spacing w:line="360" w:lineRule="auto"/>
              <w:jc w:val="center"/>
              <w:rPr>
                <w:rFonts w:ascii="仿宋" w:hAnsi="仿宋" w:eastAsia="仿宋" w:cs="仿宋_GB2312"/>
                <w:b/>
                <w:bCs/>
                <w:sz w:val="24"/>
              </w:rPr>
            </w:pPr>
            <w:r>
              <w:rPr>
                <w:rFonts w:hint="eastAsia" w:ascii="仿宋" w:hAnsi="仿宋" w:eastAsia="仿宋" w:cs="仿宋_GB2312"/>
                <w:b/>
                <w:bCs/>
                <w:sz w:val="24"/>
              </w:rPr>
              <w:t>版块</w:t>
            </w:r>
          </w:p>
        </w:tc>
        <w:tc>
          <w:tcPr>
            <w:tcW w:w="1517" w:type="dxa"/>
          </w:tcPr>
          <w:p w14:paraId="5DFB5AEB">
            <w:pPr>
              <w:spacing w:line="360" w:lineRule="auto"/>
              <w:jc w:val="center"/>
              <w:rPr>
                <w:rFonts w:ascii="仿宋" w:hAnsi="仿宋" w:eastAsia="仿宋" w:cs="仿宋_GB2312"/>
                <w:b/>
                <w:bCs/>
                <w:sz w:val="24"/>
              </w:rPr>
            </w:pPr>
            <w:r>
              <w:rPr>
                <w:rFonts w:hint="eastAsia" w:ascii="仿宋" w:hAnsi="仿宋" w:eastAsia="仿宋" w:cs="仿宋_GB2312"/>
                <w:b/>
                <w:bCs/>
                <w:sz w:val="24"/>
              </w:rPr>
              <w:t>赛项</w:t>
            </w:r>
          </w:p>
        </w:tc>
        <w:tc>
          <w:tcPr>
            <w:tcW w:w="2518" w:type="dxa"/>
          </w:tcPr>
          <w:p w14:paraId="0EDBD353">
            <w:pPr>
              <w:spacing w:line="360" w:lineRule="auto"/>
              <w:jc w:val="center"/>
              <w:rPr>
                <w:rFonts w:ascii="仿宋" w:hAnsi="仿宋" w:eastAsia="仿宋" w:cs="仿宋_GB2312"/>
                <w:b/>
                <w:bCs/>
                <w:sz w:val="24"/>
              </w:rPr>
            </w:pPr>
            <w:r>
              <w:rPr>
                <w:rFonts w:hint="eastAsia" w:ascii="仿宋" w:hAnsi="仿宋" w:eastAsia="仿宋" w:cs="仿宋_GB2312"/>
                <w:b/>
                <w:bCs/>
                <w:sz w:val="24"/>
              </w:rPr>
              <w:t>组 别</w:t>
            </w:r>
          </w:p>
        </w:tc>
        <w:tc>
          <w:tcPr>
            <w:tcW w:w="1417" w:type="dxa"/>
          </w:tcPr>
          <w:p w14:paraId="2246C47C">
            <w:pPr>
              <w:spacing w:line="360" w:lineRule="auto"/>
              <w:jc w:val="center"/>
              <w:rPr>
                <w:rFonts w:ascii="仿宋" w:hAnsi="仿宋" w:eastAsia="仿宋" w:cs="仿宋_GB2312"/>
                <w:b/>
                <w:bCs/>
                <w:sz w:val="24"/>
              </w:rPr>
            </w:pPr>
            <w:r>
              <w:rPr>
                <w:rFonts w:hint="eastAsia" w:ascii="仿宋" w:hAnsi="仿宋" w:eastAsia="仿宋" w:cs="仿宋_GB2312"/>
                <w:b/>
                <w:bCs/>
                <w:sz w:val="24"/>
              </w:rPr>
              <w:t>比赛类型</w:t>
            </w:r>
          </w:p>
        </w:tc>
        <w:tc>
          <w:tcPr>
            <w:tcW w:w="1355" w:type="dxa"/>
          </w:tcPr>
          <w:p w14:paraId="0FEC9EC5">
            <w:pPr>
              <w:spacing w:line="360" w:lineRule="auto"/>
              <w:jc w:val="center"/>
              <w:rPr>
                <w:rFonts w:ascii="仿宋" w:hAnsi="仿宋" w:eastAsia="仿宋" w:cs="仿宋_GB2312"/>
                <w:b/>
                <w:bCs/>
                <w:sz w:val="24"/>
              </w:rPr>
            </w:pPr>
            <w:r>
              <w:rPr>
                <w:rFonts w:hint="eastAsia" w:ascii="仿宋" w:hAnsi="仿宋" w:eastAsia="仿宋" w:cs="仿宋_GB2312"/>
                <w:b/>
                <w:bCs/>
                <w:sz w:val="24"/>
              </w:rPr>
              <w:t>每队人数</w:t>
            </w:r>
          </w:p>
        </w:tc>
      </w:tr>
      <w:tr w14:paraId="6B88C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381" w:type="dxa"/>
            <w:vMerge w:val="restart"/>
            <w:vAlign w:val="center"/>
          </w:tcPr>
          <w:p w14:paraId="501E481E">
            <w:pPr>
              <w:spacing w:line="360" w:lineRule="auto"/>
              <w:jc w:val="center"/>
              <w:rPr>
                <w:rFonts w:hint="eastAsia" w:ascii="仿宋" w:hAnsi="仿宋" w:eastAsia="仿宋" w:cs="仿宋_GB2312"/>
                <w:color w:val="000000" w:themeColor="text1"/>
                <w:sz w:val="24"/>
                <w:lang w:val="en-US" w:eastAsia="zh-CN"/>
              </w:rPr>
            </w:pPr>
            <w:r>
              <w:rPr>
                <w:rFonts w:hint="eastAsia" w:ascii="仿宋" w:hAnsi="仿宋" w:eastAsia="仿宋" w:cs="仿宋_GB2312"/>
                <w:color w:val="000000" w:themeColor="text1"/>
                <w:sz w:val="24"/>
              </w:rPr>
              <w:t>少年</w:t>
            </w:r>
            <w:r>
              <w:rPr>
                <w:rFonts w:hint="eastAsia" w:ascii="仿宋" w:hAnsi="仿宋" w:eastAsia="仿宋" w:cs="仿宋_GB2312"/>
                <w:color w:val="000000" w:themeColor="text1"/>
                <w:sz w:val="24"/>
                <w:lang w:val="en-US" w:eastAsia="zh-CN"/>
              </w:rPr>
              <w:t>组</w:t>
            </w:r>
          </w:p>
        </w:tc>
        <w:tc>
          <w:tcPr>
            <w:tcW w:w="1517" w:type="dxa"/>
            <w:vAlign w:val="center"/>
          </w:tcPr>
          <w:p w14:paraId="34C186E2">
            <w:pPr>
              <w:spacing w:line="360" w:lineRule="auto"/>
              <w:jc w:val="center"/>
              <w:rPr>
                <w:rFonts w:ascii="仿宋" w:hAnsi="仿宋" w:eastAsia="仿宋" w:cs="仿宋_GB2312"/>
                <w:color w:val="000000" w:themeColor="text1"/>
                <w:sz w:val="24"/>
              </w:rPr>
            </w:pPr>
            <w:r>
              <w:rPr>
                <w:rFonts w:hint="eastAsia" w:ascii="仿宋" w:hAnsi="仿宋" w:eastAsia="仿宋" w:cs="仿宋_GB2312"/>
                <w:color w:val="000000" w:themeColor="text1"/>
                <w:sz w:val="24"/>
              </w:rPr>
              <w:t>趣味智造</w:t>
            </w:r>
          </w:p>
        </w:tc>
        <w:tc>
          <w:tcPr>
            <w:tcW w:w="2518" w:type="dxa"/>
            <w:vMerge w:val="restart"/>
            <w:vAlign w:val="center"/>
          </w:tcPr>
          <w:p w14:paraId="7F6059B9">
            <w:pPr>
              <w:spacing w:line="360" w:lineRule="auto"/>
              <w:jc w:val="center"/>
              <w:rPr>
                <w:rFonts w:ascii="仿宋" w:hAnsi="仿宋" w:eastAsia="仿宋" w:cs="仿宋_GB2312"/>
                <w:sz w:val="24"/>
              </w:rPr>
            </w:pPr>
            <w:r>
              <w:rPr>
                <w:rFonts w:hint="eastAsia" w:ascii="仿宋" w:hAnsi="仿宋" w:eastAsia="仿宋" w:cs="仿宋_GB2312"/>
                <w:sz w:val="24"/>
              </w:rPr>
              <w:t>小学、初中、</w:t>
            </w:r>
          </w:p>
          <w:p w14:paraId="2E5F154E">
            <w:pPr>
              <w:spacing w:line="360" w:lineRule="auto"/>
              <w:jc w:val="center"/>
              <w:rPr>
                <w:rFonts w:ascii="仿宋" w:hAnsi="仿宋" w:eastAsia="仿宋" w:cs="仿宋_GB2312"/>
                <w:sz w:val="24"/>
              </w:rPr>
            </w:pPr>
            <w:r>
              <w:rPr>
                <w:rFonts w:hint="eastAsia" w:ascii="仿宋" w:hAnsi="仿宋" w:eastAsia="仿宋" w:cs="仿宋_GB2312"/>
                <w:sz w:val="24"/>
              </w:rPr>
              <w:t>高中（含中职）</w:t>
            </w:r>
          </w:p>
        </w:tc>
        <w:tc>
          <w:tcPr>
            <w:tcW w:w="1417" w:type="dxa"/>
            <w:vMerge w:val="restart"/>
            <w:vAlign w:val="center"/>
          </w:tcPr>
          <w:p w14:paraId="10C117FF">
            <w:pPr>
              <w:spacing w:line="360" w:lineRule="auto"/>
              <w:jc w:val="center"/>
              <w:rPr>
                <w:rFonts w:ascii="仿宋" w:hAnsi="仿宋" w:eastAsia="仿宋" w:cs="仿宋_GB2312"/>
                <w:sz w:val="24"/>
              </w:rPr>
            </w:pPr>
            <w:r>
              <w:rPr>
                <w:rFonts w:hint="eastAsia" w:ascii="仿宋" w:hAnsi="仿宋" w:eastAsia="仿宋" w:cs="仿宋_GB2312"/>
                <w:sz w:val="24"/>
              </w:rPr>
              <w:t>团体</w:t>
            </w:r>
          </w:p>
        </w:tc>
        <w:tc>
          <w:tcPr>
            <w:tcW w:w="1355" w:type="dxa"/>
            <w:vMerge w:val="restart"/>
            <w:vAlign w:val="center"/>
          </w:tcPr>
          <w:p w14:paraId="5AC25020">
            <w:pPr>
              <w:spacing w:line="360" w:lineRule="auto"/>
              <w:jc w:val="center"/>
              <w:rPr>
                <w:rFonts w:ascii="仿宋" w:hAnsi="仿宋" w:eastAsia="仿宋" w:cs="仿宋_GB2312"/>
                <w:sz w:val="24"/>
              </w:rPr>
            </w:pPr>
            <w:r>
              <w:rPr>
                <w:rFonts w:hint="eastAsia" w:ascii="仿宋" w:hAnsi="仿宋" w:eastAsia="仿宋" w:cs="仿宋_GB2312"/>
                <w:sz w:val="24"/>
              </w:rPr>
              <w:t>1-3人</w:t>
            </w:r>
          </w:p>
        </w:tc>
      </w:tr>
      <w:tr w14:paraId="10006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381" w:type="dxa"/>
            <w:vMerge w:val="continue"/>
            <w:vAlign w:val="center"/>
          </w:tcPr>
          <w:p w14:paraId="79750791">
            <w:pPr>
              <w:spacing w:line="360" w:lineRule="auto"/>
              <w:jc w:val="center"/>
              <w:rPr>
                <w:rFonts w:ascii="仿宋" w:hAnsi="仿宋" w:eastAsia="仿宋"/>
                <w:color w:val="000000" w:themeColor="text1"/>
              </w:rPr>
            </w:pPr>
          </w:p>
        </w:tc>
        <w:tc>
          <w:tcPr>
            <w:tcW w:w="1517" w:type="dxa"/>
            <w:vAlign w:val="center"/>
          </w:tcPr>
          <w:p w14:paraId="19B04AFA">
            <w:pPr>
              <w:spacing w:line="360" w:lineRule="auto"/>
              <w:jc w:val="center"/>
              <w:rPr>
                <w:rFonts w:ascii="仿宋" w:hAnsi="仿宋" w:eastAsia="仿宋" w:cs="仿宋_GB2312"/>
                <w:color w:val="000000" w:themeColor="text1"/>
                <w:sz w:val="24"/>
              </w:rPr>
            </w:pPr>
            <w:r>
              <w:rPr>
                <w:rFonts w:hint="eastAsia" w:ascii="仿宋" w:hAnsi="仿宋" w:eastAsia="仿宋" w:cs="仿宋_GB2312"/>
                <w:color w:val="000000" w:themeColor="text1"/>
                <w:sz w:val="24"/>
              </w:rPr>
              <w:t>文韵智创</w:t>
            </w:r>
          </w:p>
        </w:tc>
        <w:tc>
          <w:tcPr>
            <w:tcW w:w="2518" w:type="dxa"/>
            <w:vMerge w:val="continue"/>
            <w:vAlign w:val="center"/>
          </w:tcPr>
          <w:p w14:paraId="1B3911B2">
            <w:pPr>
              <w:spacing w:line="360" w:lineRule="auto"/>
              <w:jc w:val="center"/>
              <w:rPr>
                <w:rFonts w:ascii="仿宋" w:hAnsi="仿宋" w:eastAsia="仿宋" w:cs="仿宋_GB2312"/>
                <w:sz w:val="24"/>
              </w:rPr>
            </w:pPr>
          </w:p>
        </w:tc>
        <w:tc>
          <w:tcPr>
            <w:tcW w:w="1417" w:type="dxa"/>
            <w:vMerge w:val="continue"/>
            <w:vAlign w:val="center"/>
          </w:tcPr>
          <w:p w14:paraId="776887F7">
            <w:pPr>
              <w:spacing w:line="360" w:lineRule="auto"/>
              <w:jc w:val="center"/>
              <w:rPr>
                <w:rFonts w:ascii="仿宋" w:hAnsi="仿宋" w:eastAsia="仿宋" w:cs="仿宋_GB2312"/>
                <w:sz w:val="24"/>
              </w:rPr>
            </w:pPr>
          </w:p>
        </w:tc>
        <w:tc>
          <w:tcPr>
            <w:tcW w:w="1355" w:type="dxa"/>
            <w:vMerge w:val="continue"/>
            <w:vAlign w:val="center"/>
          </w:tcPr>
          <w:p w14:paraId="003518AD">
            <w:pPr>
              <w:spacing w:line="360" w:lineRule="auto"/>
              <w:jc w:val="center"/>
              <w:rPr>
                <w:rFonts w:ascii="仿宋" w:hAnsi="仿宋" w:eastAsia="仿宋" w:cs="仿宋_GB2312"/>
                <w:sz w:val="24"/>
              </w:rPr>
            </w:pPr>
          </w:p>
        </w:tc>
      </w:tr>
      <w:tr w14:paraId="6D3D1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1381" w:type="dxa"/>
            <w:vMerge w:val="continue"/>
            <w:vAlign w:val="center"/>
          </w:tcPr>
          <w:p w14:paraId="7A995F2E">
            <w:pPr>
              <w:spacing w:line="360" w:lineRule="auto"/>
              <w:jc w:val="center"/>
              <w:rPr>
                <w:rFonts w:ascii="仿宋" w:hAnsi="仿宋" w:eastAsia="仿宋" w:cs="仿宋_GB2312"/>
                <w:color w:val="000000" w:themeColor="text1"/>
                <w:sz w:val="24"/>
              </w:rPr>
            </w:pPr>
          </w:p>
        </w:tc>
        <w:tc>
          <w:tcPr>
            <w:tcW w:w="1517" w:type="dxa"/>
            <w:vMerge w:val="restart"/>
            <w:vAlign w:val="center"/>
          </w:tcPr>
          <w:p w14:paraId="68E570E2">
            <w:pPr>
              <w:spacing w:line="360" w:lineRule="auto"/>
              <w:jc w:val="center"/>
              <w:rPr>
                <w:rFonts w:ascii="仿宋" w:hAnsi="仿宋" w:eastAsia="仿宋" w:cs="仿宋_GB2312"/>
                <w:color w:val="000000" w:themeColor="text1"/>
                <w:sz w:val="24"/>
              </w:rPr>
            </w:pPr>
            <w:r>
              <w:rPr>
                <w:rFonts w:hint="eastAsia" w:ascii="仿宋" w:hAnsi="仿宋" w:eastAsia="仿宋" w:cs="仿宋_GB2312"/>
                <w:color w:val="000000" w:themeColor="text1"/>
                <w:sz w:val="24"/>
              </w:rPr>
              <w:t>创客马拉松</w:t>
            </w:r>
          </w:p>
        </w:tc>
        <w:tc>
          <w:tcPr>
            <w:tcW w:w="2518" w:type="dxa"/>
            <w:vAlign w:val="center"/>
          </w:tcPr>
          <w:p w14:paraId="45288636">
            <w:pPr>
              <w:spacing w:line="360" w:lineRule="auto"/>
              <w:jc w:val="center"/>
              <w:rPr>
                <w:rFonts w:hint="eastAsia" w:ascii="仿宋" w:hAnsi="仿宋" w:eastAsia="仿宋" w:cs="仿宋_GB2312"/>
                <w:sz w:val="24"/>
              </w:rPr>
            </w:pPr>
            <w:r>
              <w:rPr>
                <w:rFonts w:hint="eastAsia" w:ascii="仿宋" w:hAnsi="仿宋" w:eastAsia="仿宋" w:cs="仿宋_GB2312"/>
                <w:sz w:val="24"/>
              </w:rPr>
              <w:t>初中</w:t>
            </w:r>
          </w:p>
          <w:p w14:paraId="583CD3A6">
            <w:pPr>
              <w:spacing w:line="360" w:lineRule="auto"/>
              <w:jc w:val="center"/>
              <w:rPr>
                <w:rFonts w:ascii="仿宋" w:hAnsi="仿宋" w:eastAsia="仿宋" w:cs="仿宋_GB2312"/>
                <w:sz w:val="24"/>
              </w:rPr>
            </w:pPr>
            <w:r>
              <w:rPr>
                <w:rFonts w:hint="eastAsia" w:ascii="仿宋" w:hAnsi="仿宋" w:eastAsia="仿宋" w:cs="仿宋_GB2312"/>
                <w:sz w:val="24"/>
              </w:rPr>
              <w:t>高中（含中职）</w:t>
            </w:r>
          </w:p>
        </w:tc>
        <w:tc>
          <w:tcPr>
            <w:tcW w:w="1417" w:type="dxa"/>
            <w:vMerge w:val="restart"/>
            <w:vAlign w:val="center"/>
          </w:tcPr>
          <w:p w14:paraId="3EB1A5FA">
            <w:pPr>
              <w:spacing w:line="360" w:lineRule="auto"/>
              <w:jc w:val="center"/>
              <w:rPr>
                <w:rFonts w:ascii="仿宋" w:hAnsi="仿宋" w:eastAsia="仿宋" w:cs="仿宋_GB2312"/>
                <w:sz w:val="24"/>
              </w:rPr>
            </w:pPr>
            <w:r>
              <w:rPr>
                <w:rFonts w:hint="eastAsia" w:ascii="仿宋" w:hAnsi="仿宋" w:eastAsia="仿宋" w:cs="仿宋_GB2312"/>
                <w:sz w:val="24"/>
              </w:rPr>
              <w:t>团体</w:t>
            </w:r>
          </w:p>
        </w:tc>
        <w:tc>
          <w:tcPr>
            <w:tcW w:w="1355" w:type="dxa"/>
            <w:vMerge w:val="restart"/>
            <w:vAlign w:val="center"/>
          </w:tcPr>
          <w:p w14:paraId="403931ED">
            <w:pPr>
              <w:spacing w:line="360" w:lineRule="auto"/>
              <w:jc w:val="center"/>
              <w:rPr>
                <w:rFonts w:ascii="仿宋" w:hAnsi="仿宋" w:eastAsia="仿宋" w:cs="仿宋_GB2312"/>
                <w:sz w:val="24"/>
              </w:rPr>
            </w:pPr>
            <w:r>
              <w:rPr>
                <w:rFonts w:ascii="仿宋" w:hAnsi="仿宋" w:eastAsia="仿宋" w:cs="仿宋_GB2312"/>
                <w:color w:val="000000" w:themeColor="text1"/>
                <w:sz w:val="24"/>
              </w:rPr>
              <w:t>2-5</w:t>
            </w:r>
            <w:r>
              <w:rPr>
                <w:rFonts w:hint="eastAsia" w:ascii="仿宋" w:hAnsi="仿宋" w:eastAsia="仿宋" w:cs="仿宋_GB2312"/>
                <w:color w:val="000000" w:themeColor="text1"/>
                <w:sz w:val="24"/>
              </w:rPr>
              <w:t>人</w:t>
            </w:r>
          </w:p>
        </w:tc>
      </w:tr>
      <w:tr w14:paraId="52F8F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381" w:type="dxa"/>
            <w:vMerge w:val="continue"/>
            <w:vAlign w:val="center"/>
          </w:tcPr>
          <w:p w14:paraId="38666913">
            <w:pPr>
              <w:spacing w:line="360" w:lineRule="auto"/>
              <w:jc w:val="center"/>
              <w:rPr>
                <w:rFonts w:ascii="仿宋" w:hAnsi="仿宋" w:eastAsia="仿宋" w:cs="仿宋_GB2312"/>
                <w:color w:val="000000" w:themeColor="text1"/>
                <w:sz w:val="24"/>
              </w:rPr>
            </w:pPr>
          </w:p>
        </w:tc>
        <w:tc>
          <w:tcPr>
            <w:tcW w:w="1517" w:type="dxa"/>
            <w:vAlign w:val="center"/>
          </w:tcPr>
          <w:p w14:paraId="4BD9C083">
            <w:pPr>
              <w:spacing w:line="360" w:lineRule="auto"/>
              <w:jc w:val="center"/>
              <w:rPr>
                <w:rFonts w:ascii="仿宋" w:hAnsi="仿宋" w:eastAsia="仿宋" w:cs="仿宋_GB2312"/>
                <w:color w:val="000000" w:themeColor="text1"/>
                <w:sz w:val="24"/>
              </w:rPr>
            </w:pPr>
            <w:r>
              <w:rPr>
                <w:rFonts w:hint="eastAsia" w:ascii="仿宋" w:hAnsi="仿宋" w:eastAsia="仿宋" w:cs="仿宋_GB2312"/>
                <w:color w:val="000000" w:themeColor="text1"/>
                <w:sz w:val="24"/>
              </w:rPr>
              <w:t>结构挑战</w:t>
            </w:r>
          </w:p>
        </w:tc>
        <w:tc>
          <w:tcPr>
            <w:tcW w:w="2518" w:type="dxa"/>
            <w:vAlign w:val="center"/>
          </w:tcPr>
          <w:p w14:paraId="7BBB4DC8">
            <w:pPr>
              <w:spacing w:line="360" w:lineRule="auto"/>
              <w:jc w:val="center"/>
              <w:rPr>
                <w:rFonts w:hint="eastAsia" w:ascii="仿宋" w:hAnsi="仿宋" w:eastAsia="仿宋" w:cs="仿宋_GB2312"/>
                <w:sz w:val="24"/>
              </w:rPr>
            </w:pPr>
            <w:r>
              <w:rPr>
                <w:rFonts w:hint="eastAsia" w:ascii="仿宋" w:hAnsi="仿宋" w:eastAsia="仿宋" w:cs="仿宋_GB2312"/>
                <w:sz w:val="24"/>
              </w:rPr>
              <w:t>初中</w:t>
            </w:r>
          </w:p>
          <w:p w14:paraId="5209C777">
            <w:pPr>
              <w:spacing w:line="360" w:lineRule="auto"/>
              <w:jc w:val="center"/>
              <w:rPr>
                <w:rFonts w:ascii="仿宋" w:hAnsi="仿宋" w:eastAsia="仿宋" w:cs="仿宋_GB2312"/>
                <w:sz w:val="24"/>
              </w:rPr>
            </w:pPr>
            <w:r>
              <w:rPr>
                <w:rFonts w:hint="eastAsia" w:ascii="仿宋" w:hAnsi="仿宋" w:eastAsia="仿宋" w:cs="仿宋_GB2312"/>
                <w:sz w:val="24"/>
              </w:rPr>
              <w:t>高中（含中职）</w:t>
            </w:r>
          </w:p>
        </w:tc>
        <w:tc>
          <w:tcPr>
            <w:tcW w:w="1417" w:type="dxa"/>
            <w:vAlign w:val="center"/>
          </w:tcPr>
          <w:p w14:paraId="5BA3FCF2">
            <w:pPr>
              <w:spacing w:line="360" w:lineRule="auto"/>
              <w:jc w:val="center"/>
              <w:rPr>
                <w:rFonts w:ascii="仿宋" w:hAnsi="仿宋" w:eastAsia="仿宋" w:cs="仿宋_GB2312"/>
                <w:sz w:val="24"/>
              </w:rPr>
            </w:pPr>
            <w:r>
              <w:rPr>
                <w:rFonts w:hint="eastAsia" w:ascii="仿宋" w:hAnsi="仿宋" w:eastAsia="仿宋" w:cs="仿宋_GB2312"/>
                <w:sz w:val="24"/>
              </w:rPr>
              <w:t>团体</w:t>
            </w:r>
          </w:p>
        </w:tc>
        <w:tc>
          <w:tcPr>
            <w:tcW w:w="1355" w:type="dxa"/>
            <w:vAlign w:val="center"/>
          </w:tcPr>
          <w:p w14:paraId="3D2BC387">
            <w:pPr>
              <w:spacing w:line="360" w:lineRule="auto"/>
              <w:jc w:val="center"/>
              <w:rPr>
                <w:rFonts w:ascii="仿宋" w:hAnsi="仿宋" w:eastAsia="仿宋" w:cs="仿宋_GB2312"/>
                <w:sz w:val="24"/>
              </w:rPr>
            </w:pPr>
            <w:r>
              <w:rPr>
                <w:rFonts w:hint="eastAsia" w:ascii="仿宋" w:hAnsi="仿宋" w:eastAsia="仿宋" w:cs="仿宋_GB2312"/>
                <w:sz w:val="24"/>
              </w:rPr>
              <w:t>3人</w:t>
            </w:r>
          </w:p>
        </w:tc>
      </w:tr>
    </w:tbl>
    <w:p w14:paraId="2A9F4011">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引导小创客们从生活着手，围绕主题，大胆造物，将自己的创意具象展现，形成创意服饰、奇妙装置、文创设计、创客小发明及其他有意义的创客设计等创客成果。创客们在创造中学习，在交流中碰撞思维的火花。</w:t>
      </w:r>
    </w:p>
    <w:p w14:paraId="4D8C6A6D">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（一）趣味智造</w:t>
      </w:r>
    </w:p>
    <w:p w14:paraId="5D730A76">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自定主题，设计一个创客作品，使其嵌入智能硬件并利用多种加工方式，形成具有创客精神的作品（实物）或装置。</w:t>
      </w:r>
    </w:p>
    <w:p w14:paraId="7A1BBD82">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（二）文韵智创</w:t>
      </w:r>
    </w:p>
    <w:p w14:paraId="40F300F5">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以“Glocal - 跨越边界，数智地创”为主题，Glocal 代表着全球（Global）与地方（Local）相结合的概念。在全球化的时代浪潮中，这一概念强调尊重和发扬本地文化、资源和特色的独特价值。今年的主题正是基于此，旨在鼓励小创客们深入探讨在全球化时代，如何关注本地文化的传承与创新，创造出全球化与本土化并重的创新设计成果。</w:t>
      </w:r>
    </w:p>
    <w:p w14:paraId="614D5559">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（三）创客马拉松</w:t>
      </w:r>
    </w:p>
    <w:p w14:paraId="3374CC84">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以创客团队的合作来解决即时问题（现场命题），创设物料仓库为小创客们提供创意成真的现实造物空间，交流创客文化，展现创客风采。活动对象为有一定创新经历的初高中学生（含中职）。</w:t>
      </w:r>
    </w:p>
    <w:p w14:paraId="65104808">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（四）结构挑战</w:t>
      </w:r>
    </w:p>
    <w:p w14:paraId="2B111EE2">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城市中随处可见各种各样的高楼大厦，一座座挺拔的高楼，都必须承受楼内所有物体的竖直方向的重力以及风吹来时对楼产生水平作用的推力。本赛题是制作一个建筑结构模型，结构形式任选。在模型上施加竖向荷载，模拟建筑结构实际承受的荷载。</w:t>
      </w:r>
    </w:p>
    <w:p w14:paraId="526F220C">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三、参与流程及要求</w:t>
      </w:r>
    </w:p>
    <w:p w14:paraId="699DDA21">
      <w:pPr>
        <w:pStyle w:val="14"/>
        <w:keepNext w:val="0"/>
        <w:keepLines w:val="0"/>
        <w:pageBreakBefore w:val="0"/>
        <w:widowControl w:val="0"/>
        <w:kinsoku/>
        <w:wordWrap/>
        <w:overflowPunct/>
        <w:topLinePunct w:val="0"/>
        <w:autoSpaceDE/>
        <w:autoSpaceDN/>
        <w:bidi w:val="0"/>
        <w:adjustRightInd w:val="0"/>
        <w:snapToGrid w:val="0"/>
        <w:spacing w:line="340" w:lineRule="exact"/>
        <w:ind w:firstLine="60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（一）流程</w:t>
      </w:r>
    </w:p>
    <w:p w14:paraId="479D4398">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w:t>
      </w:r>
      <w:r>
        <w:rPr>
          <w:rFonts w:hint="eastAsia" w:asciiTheme="minorEastAsia" w:hAnsiTheme="minorEastAsia" w:eastAsiaTheme="minorEastAsia" w:cstheme="minorEastAsia"/>
          <w:b w:val="0"/>
          <w:bCs w:val="0"/>
          <w:sz w:val="24"/>
          <w:szCs w:val="24"/>
          <w:lang w:val="en-US" w:eastAsia="zh-Hans"/>
        </w:rPr>
        <w:t>校级</w:t>
      </w:r>
      <w:r>
        <w:rPr>
          <w:rFonts w:hint="eastAsia" w:asciiTheme="minorEastAsia" w:hAnsiTheme="minorEastAsia" w:eastAsiaTheme="minorEastAsia" w:cstheme="minorEastAsia"/>
          <w:b w:val="0"/>
          <w:bCs w:val="0"/>
          <w:sz w:val="24"/>
          <w:szCs w:val="24"/>
          <w:lang w:val="en-US" w:eastAsia="zh-CN"/>
        </w:rPr>
        <w:t>组织初赛并择优</w:t>
      </w:r>
      <w:r>
        <w:rPr>
          <w:rFonts w:hint="eastAsia" w:asciiTheme="minorEastAsia" w:hAnsiTheme="minorEastAsia" w:eastAsiaTheme="minorEastAsia" w:cstheme="minorEastAsia"/>
          <w:b w:val="0"/>
          <w:bCs w:val="0"/>
          <w:sz w:val="24"/>
          <w:szCs w:val="24"/>
          <w:lang w:val="en-US" w:eastAsia="zh-Hans"/>
        </w:rPr>
        <w:t>申报</w:t>
      </w:r>
    </w:p>
    <w:p w14:paraId="1EF5CD3F">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Hans"/>
        </w:rPr>
      </w:pPr>
      <w:r>
        <w:rPr>
          <w:rFonts w:hint="eastAsia" w:asciiTheme="minorEastAsia" w:hAnsiTheme="minorEastAsia" w:eastAsiaTheme="minorEastAsia" w:cstheme="minorEastAsia"/>
          <w:b w:val="0"/>
          <w:bCs w:val="0"/>
          <w:sz w:val="24"/>
          <w:szCs w:val="24"/>
          <w:lang w:val="en-US" w:eastAsia="zh-Hans"/>
        </w:rPr>
        <w:t>各校广泛动员，</w:t>
      </w:r>
      <w:r>
        <w:rPr>
          <w:rFonts w:hint="eastAsia" w:asciiTheme="minorEastAsia" w:hAnsiTheme="minorEastAsia" w:eastAsiaTheme="minorEastAsia" w:cstheme="minorEastAsia"/>
          <w:b w:val="0"/>
          <w:bCs w:val="0"/>
          <w:sz w:val="24"/>
          <w:szCs w:val="24"/>
          <w:lang w:val="en-US" w:eastAsia="zh-CN"/>
        </w:rPr>
        <w:t>组织初赛，</w:t>
      </w:r>
      <w:r>
        <w:rPr>
          <w:rFonts w:hint="eastAsia" w:asciiTheme="minorEastAsia" w:hAnsiTheme="minorEastAsia" w:eastAsiaTheme="minorEastAsia" w:cstheme="minorEastAsia"/>
          <w:b w:val="0"/>
          <w:bCs w:val="0"/>
          <w:sz w:val="24"/>
          <w:szCs w:val="24"/>
          <w:lang w:val="en-US" w:eastAsia="zh-Hans"/>
        </w:rPr>
        <w:t>注重发现、培养并推荐符合参赛条件的学生报名参加活动，</w:t>
      </w:r>
      <w:r>
        <w:rPr>
          <w:rFonts w:hint="eastAsia" w:asciiTheme="minorEastAsia" w:hAnsiTheme="minorEastAsia" w:eastAsiaTheme="minorEastAsia" w:cstheme="minorEastAsia"/>
          <w:b w:val="0"/>
          <w:bCs w:val="0"/>
          <w:sz w:val="24"/>
          <w:szCs w:val="24"/>
          <w:lang w:val="en-US" w:eastAsia="zh-CN"/>
        </w:rPr>
        <w:t>学生自愿参加，每位学生限报一项（不可兼项）</w:t>
      </w:r>
      <w:r>
        <w:rPr>
          <w:rFonts w:hint="eastAsia" w:asciiTheme="minorEastAsia" w:hAnsiTheme="minorEastAsia" w:eastAsiaTheme="minorEastAsia" w:cstheme="minorEastAsia"/>
          <w:b w:val="0"/>
          <w:bCs w:val="0"/>
          <w:sz w:val="24"/>
          <w:szCs w:val="24"/>
          <w:lang w:val="en-US" w:eastAsia="zh-Hans"/>
        </w:rPr>
        <w:t>。每个参赛项目指导教师</w:t>
      </w:r>
      <w:r>
        <w:rPr>
          <w:rFonts w:hint="eastAsia" w:asciiTheme="minorEastAsia" w:hAnsiTheme="minorEastAsia" w:cstheme="minorEastAsia"/>
          <w:b w:val="0"/>
          <w:bCs w:val="0"/>
          <w:sz w:val="24"/>
          <w:szCs w:val="24"/>
          <w:lang w:val="en-US" w:eastAsia="zh-CN"/>
        </w:rPr>
        <w:t>最</w:t>
      </w:r>
      <w:r>
        <w:rPr>
          <w:rFonts w:hint="eastAsia" w:asciiTheme="minorEastAsia" w:hAnsiTheme="minorEastAsia" w:eastAsiaTheme="minorEastAsia" w:cstheme="minorEastAsia"/>
          <w:b w:val="0"/>
          <w:bCs w:val="0"/>
          <w:sz w:val="24"/>
          <w:szCs w:val="24"/>
          <w:lang w:val="en-US" w:eastAsia="zh-Hans"/>
        </w:rPr>
        <w:t>多2名。</w:t>
      </w:r>
    </w:p>
    <w:p w14:paraId="0A230DC8">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2.区级评审推荐</w:t>
      </w:r>
    </w:p>
    <w:p w14:paraId="4149BB85">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区青少年活动中心于4月</w:t>
      </w:r>
      <w:r>
        <w:rPr>
          <w:rFonts w:hint="eastAsia" w:asciiTheme="minorEastAsia" w:hAnsiTheme="minorEastAsia" w:cstheme="minorEastAsia"/>
          <w:b w:val="0"/>
          <w:bCs w:val="0"/>
          <w:sz w:val="24"/>
          <w:szCs w:val="24"/>
          <w:lang w:val="en-US" w:eastAsia="zh-CN"/>
        </w:rPr>
        <w:t>27</w:t>
      </w:r>
      <w:r>
        <w:rPr>
          <w:rFonts w:hint="eastAsia" w:asciiTheme="minorEastAsia" w:hAnsiTheme="minorEastAsia" w:eastAsiaTheme="minorEastAsia" w:cstheme="minorEastAsia"/>
          <w:b w:val="0"/>
          <w:bCs w:val="0"/>
          <w:sz w:val="24"/>
          <w:szCs w:val="24"/>
          <w:lang w:val="en-US" w:eastAsia="zh-CN"/>
        </w:rPr>
        <w:t>日（周</w:t>
      </w:r>
      <w:r>
        <w:rPr>
          <w:rFonts w:hint="eastAsia" w:asciiTheme="minorEastAsia" w:hAnsiTheme="minorEastAsia" w:cstheme="minorEastAsia"/>
          <w:b w:val="0"/>
          <w:bCs w:val="0"/>
          <w:sz w:val="24"/>
          <w:szCs w:val="24"/>
          <w:lang w:val="en-US" w:eastAsia="zh-CN"/>
        </w:rPr>
        <w:t>日</w:t>
      </w:r>
      <w:r>
        <w:rPr>
          <w:rFonts w:hint="eastAsia" w:asciiTheme="minorEastAsia" w:hAnsiTheme="minorEastAsia" w:eastAsiaTheme="minorEastAsia" w:cstheme="minorEastAsia"/>
          <w:b w:val="0"/>
          <w:bCs w:val="0"/>
          <w:sz w:val="24"/>
          <w:szCs w:val="24"/>
          <w:lang w:val="en-US" w:eastAsia="zh-CN"/>
        </w:rPr>
        <w:t>）组织区赛。根据区级</w:t>
      </w:r>
      <w:r>
        <w:rPr>
          <w:rFonts w:hint="eastAsia" w:asciiTheme="minorEastAsia" w:hAnsiTheme="minorEastAsia" w:cstheme="minorEastAsia"/>
          <w:b w:val="0"/>
          <w:bCs w:val="0"/>
          <w:sz w:val="24"/>
          <w:szCs w:val="24"/>
          <w:lang w:val="en-US" w:eastAsia="zh-CN"/>
        </w:rPr>
        <w:t>选拔</w:t>
      </w:r>
      <w:r>
        <w:rPr>
          <w:rFonts w:hint="eastAsia" w:asciiTheme="minorEastAsia" w:hAnsiTheme="minorEastAsia" w:eastAsiaTheme="minorEastAsia" w:cstheme="minorEastAsia"/>
          <w:b w:val="0"/>
          <w:bCs w:val="0"/>
          <w:sz w:val="24"/>
          <w:szCs w:val="24"/>
          <w:lang w:val="en-US" w:eastAsia="zh-CN"/>
        </w:rPr>
        <w:t>结果，按比例推荐优秀参赛学生参加市级比赛。</w:t>
      </w:r>
    </w:p>
    <w:p w14:paraId="09DA3C11">
      <w:pPr>
        <w:pStyle w:val="14"/>
        <w:keepNext w:val="0"/>
        <w:keepLines w:val="0"/>
        <w:pageBreakBefore w:val="0"/>
        <w:widowControl w:val="0"/>
        <w:kinsoku/>
        <w:wordWrap/>
        <w:overflowPunct/>
        <w:topLinePunct w:val="0"/>
        <w:autoSpaceDE/>
        <w:autoSpaceDN/>
        <w:bidi w:val="0"/>
        <w:spacing w:line="340" w:lineRule="exact"/>
        <w:ind w:firstLine="60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（二）要求</w:t>
      </w:r>
    </w:p>
    <w:p w14:paraId="4A6CB75F">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学生提交参赛材料具体要求详见《附件1：项目列表及参赛材料要求》。</w:t>
      </w:r>
    </w:p>
    <w:p w14:paraId="4B580B94">
      <w:pPr>
        <w:keepNext w:val="0"/>
        <w:keepLines w:val="0"/>
        <w:pageBreakBefore w:val="0"/>
        <w:widowControl w:val="0"/>
        <w:numPr>
          <w:ilvl w:val="0"/>
          <w:numId w:val="1"/>
        </w:numPr>
        <w:kinsoku/>
        <w:wordWrap/>
        <w:overflowPunct/>
        <w:topLinePunct w:val="0"/>
        <w:autoSpaceDE/>
        <w:autoSpaceDN/>
        <w:bidi w:val="0"/>
        <w:adjustRightInd w:val="0"/>
        <w:snapToGrid w:val="0"/>
        <w:spacing w:line="340" w:lineRule="exact"/>
        <w:ind w:left="420" w:leftChars="0" w:hanging="420" w:firstLineChars="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sz w:val="24"/>
          <w:szCs w:val="24"/>
          <w:lang w:val="en-US" w:eastAsia="zh-CN"/>
        </w:rPr>
        <w:t>版权使用授权</w:t>
      </w:r>
    </w:p>
    <w:p w14:paraId="704AD919">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作者报名并提交参赛资料，即默认同意授权大赛组委会无偿使用结集出版，并做推广交流。</w:t>
      </w:r>
    </w:p>
    <w:p w14:paraId="185C7DC1">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四、活动安排</w:t>
      </w:r>
    </w:p>
    <w:p w14:paraId="197DE4C3">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202</w:t>
      </w:r>
      <w:r>
        <w:rPr>
          <w:rFonts w:hint="eastAsia" w:asciiTheme="minorEastAsia" w:hAnsiTheme="minorEastAsia" w:cstheme="minorEastAsia"/>
          <w:b w:val="0"/>
          <w:bCs w:val="0"/>
          <w:sz w:val="24"/>
          <w:szCs w:val="24"/>
          <w:lang w:val="en-US" w:eastAsia="zh-CN"/>
        </w:rPr>
        <w:t>5</w:t>
      </w:r>
      <w:r>
        <w:rPr>
          <w:rFonts w:hint="eastAsia" w:asciiTheme="minorEastAsia" w:hAnsiTheme="minorEastAsia" w:eastAsiaTheme="minorEastAsia" w:cstheme="minorEastAsia"/>
          <w:b w:val="0"/>
          <w:bCs w:val="0"/>
          <w:sz w:val="24"/>
          <w:szCs w:val="24"/>
          <w:lang w:val="en-US" w:eastAsia="zh-CN"/>
        </w:rPr>
        <w:t>年4月</w:t>
      </w:r>
      <w:r>
        <w:rPr>
          <w:rFonts w:hint="eastAsia" w:asciiTheme="minorEastAsia" w:hAnsiTheme="minorEastAsia" w:cstheme="minorEastAsia"/>
          <w:b w:val="0"/>
          <w:bCs w:val="0"/>
          <w:sz w:val="24"/>
          <w:szCs w:val="24"/>
          <w:lang w:val="en-US" w:eastAsia="zh-CN"/>
        </w:rPr>
        <w:t>23</w:t>
      </w:r>
      <w:r>
        <w:rPr>
          <w:rFonts w:hint="eastAsia" w:asciiTheme="minorEastAsia" w:hAnsiTheme="minorEastAsia" w:eastAsiaTheme="minorEastAsia" w:cstheme="minorEastAsia"/>
          <w:b w:val="0"/>
          <w:bCs w:val="0"/>
          <w:sz w:val="24"/>
          <w:szCs w:val="24"/>
          <w:lang w:val="en-US" w:eastAsia="zh-CN"/>
        </w:rPr>
        <w:t>日           比赛报名，提交参赛材料</w:t>
      </w:r>
    </w:p>
    <w:p w14:paraId="63B9019B">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202</w:t>
      </w:r>
      <w:r>
        <w:rPr>
          <w:rFonts w:hint="eastAsia" w:asciiTheme="minorEastAsia" w:hAnsiTheme="minorEastAsia" w:cstheme="minorEastAsia"/>
          <w:b w:val="0"/>
          <w:bCs w:val="0"/>
          <w:sz w:val="24"/>
          <w:szCs w:val="24"/>
          <w:lang w:val="en-US" w:eastAsia="zh-CN"/>
        </w:rPr>
        <w:t>5</w:t>
      </w:r>
      <w:r>
        <w:rPr>
          <w:rFonts w:hint="eastAsia" w:asciiTheme="minorEastAsia" w:hAnsiTheme="minorEastAsia" w:eastAsiaTheme="minorEastAsia" w:cstheme="minorEastAsia"/>
          <w:b w:val="0"/>
          <w:bCs w:val="0"/>
          <w:sz w:val="24"/>
          <w:szCs w:val="24"/>
          <w:lang w:val="en-US" w:eastAsia="zh-CN"/>
        </w:rPr>
        <w:t>年4月</w:t>
      </w:r>
      <w:r>
        <w:rPr>
          <w:rFonts w:hint="eastAsia" w:asciiTheme="minorEastAsia" w:hAnsiTheme="minorEastAsia" w:cstheme="minorEastAsia"/>
          <w:b w:val="0"/>
          <w:bCs w:val="0"/>
          <w:sz w:val="24"/>
          <w:szCs w:val="24"/>
          <w:lang w:val="en-US" w:eastAsia="zh-CN"/>
        </w:rPr>
        <w:t>27</w:t>
      </w:r>
      <w:r>
        <w:rPr>
          <w:rFonts w:hint="eastAsia" w:asciiTheme="minorEastAsia" w:hAnsiTheme="minorEastAsia" w:eastAsiaTheme="minorEastAsia" w:cstheme="minorEastAsia"/>
          <w:b w:val="0"/>
          <w:bCs w:val="0"/>
          <w:sz w:val="24"/>
          <w:szCs w:val="24"/>
          <w:lang w:val="en-US" w:eastAsia="zh-CN"/>
        </w:rPr>
        <w:t>日           组织区赛</w:t>
      </w:r>
    </w:p>
    <w:p w14:paraId="102BF485">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202</w:t>
      </w:r>
      <w:r>
        <w:rPr>
          <w:rFonts w:hint="eastAsia" w:asciiTheme="minorEastAsia" w:hAnsiTheme="minorEastAsia" w:cstheme="minorEastAsia"/>
          <w:b w:val="0"/>
          <w:bCs w:val="0"/>
          <w:sz w:val="24"/>
          <w:szCs w:val="24"/>
          <w:lang w:val="en-US" w:eastAsia="zh-CN"/>
        </w:rPr>
        <w:t>5</w:t>
      </w:r>
      <w:r>
        <w:rPr>
          <w:rFonts w:hint="eastAsia" w:asciiTheme="minorEastAsia" w:hAnsiTheme="minorEastAsia" w:eastAsiaTheme="minorEastAsia" w:cstheme="minorEastAsia"/>
          <w:b w:val="0"/>
          <w:bCs w:val="0"/>
          <w:sz w:val="24"/>
          <w:szCs w:val="24"/>
          <w:lang w:val="en-US" w:eastAsia="zh-CN"/>
        </w:rPr>
        <w:t>年4月</w:t>
      </w:r>
      <w:r>
        <w:rPr>
          <w:rFonts w:hint="eastAsia" w:asciiTheme="minorEastAsia" w:hAnsiTheme="minorEastAsia" w:cstheme="minorEastAsia"/>
          <w:b w:val="0"/>
          <w:bCs w:val="0"/>
          <w:sz w:val="24"/>
          <w:szCs w:val="24"/>
          <w:lang w:val="en-US" w:eastAsia="zh-CN"/>
        </w:rPr>
        <w:t>30日</w:t>
      </w:r>
      <w:r>
        <w:rPr>
          <w:rFonts w:hint="eastAsia" w:asciiTheme="minorEastAsia" w:hAnsiTheme="minorEastAsia" w:eastAsiaTheme="minorEastAsia" w:cstheme="minorEastAsia"/>
          <w:b w:val="0"/>
          <w:bCs w:val="0"/>
          <w:sz w:val="24"/>
          <w:szCs w:val="24"/>
          <w:lang w:val="en-US" w:eastAsia="zh-CN"/>
        </w:rPr>
        <w:t xml:space="preserve">      </w:t>
      </w:r>
      <w:bookmarkStart w:id="0" w:name="_GoBack"/>
      <w:bookmarkEnd w:id="0"/>
      <w:r>
        <w:rPr>
          <w:rFonts w:hint="eastAsia" w:asciiTheme="minorEastAsia" w:hAnsiTheme="minorEastAsia" w:eastAsiaTheme="minorEastAsia" w:cstheme="minorEastAsia"/>
          <w:b w:val="0"/>
          <w:bCs w:val="0"/>
          <w:sz w:val="24"/>
          <w:szCs w:val="24"/>
          <w:lang w:val="en-US" w:eastAsia="zh-CN"/>
        </w:rPr>
        <w:t xml:space="preserve">     推荐市赛</w:t>
      </w:r>
    </w:p>
    <w:p w14:paraId="46296EE2">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五、评审标准与方法</w:t>
      </w:r>
    </w:p>
    <w:p w14:paraId="669014E9">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组织专家进行评审。</w:t>
      </w:r>
    </w:p>
    <w:p w14:paraId="516626E2">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六、奖项设置</w:t>
      </w:r>
    </w:p>
    <w:p w14:paraId="4CA59D53">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w:t>
      </w:r>
      <w:r>
        <w:rPr>
          <w:rFonts w:hint="eastAsia" w:asciiTheme="minorEastAsia" w:hAnsi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比赛项目按组别和参赛队数比例设等第奖。</w:t>
      </w:r>
    </w:p>
    <w:p w14:paraId="265A42C8">
      <w:pPr>
        <w:keepNext w:val="0"/>
        <w:keepLines w:val="0"/>
        <w:pageBreakBefore w:val="0"/>
        <w:kinsoku/>
        <w:wordWrap/>
        <w:overflowPunct/>
        <w:topLinePunct w:val="0"/>
        <w:autoSpaceDE/>
        <w:autoSpaceDN/>
        <w:bidi w:val="0"/>
        <w:spacing w:line="340" w:lineRule="exact"/>
        <w:ind w:firstLine="480" w:firstLineChars="200"/>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w:t>
      </w:r>
      <w:r>
        <w:rPr>
          <w:rFonts w:hint="eastAsia" w:asciiTheme="minorEastAsia" w:hAnsiTheme="minorEastAsia" w:cstheme="minorEastAsia"/>
          <w:b w:val="0"/>
          <w:bCs w:val="0"/>
          <w:sz w:val="24"/>
          <w:szCs w:val="24"/>
          <w:lang w:val="en-US" w:eastAsia="zh-CN"/>
        </w:rPr>
        <w:t>.推荐市赛并获得一等奖项目的指导老师获优秀指导教师奖。</w:t>
      </w:r>
    </w:p>
    <w:p w14:paraId="1DA49C07">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七、活动联系人</w:t>
      </w:r>
    </w:p>
    <w:p w14:paraId="34464A39">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上海市奉贤区青少年活动中心 科技教育部  朱老师</w:t>
      </w:r>
    </w:p>
    <w:p w14:paraId="08307452">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地址：东方美谷大道6258号5号楼5208室</w:t>
      </w:r>
    </w:p>
    <w:p w14:paraId="4255A51F">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联系电话：13386085889    邮箱：18991524@qq.com</w:t>
      </w:r>
    </w:p>
    <w:p w14:paraId="3EE4FB9B">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附件1：项目列表及参赛材料要求</w:t>
      </w:r>
    </w:p>
    <w:p w14:paraId="159986AD">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附件2：规则</w:t>
      </w:r>
    </w:p>
    <w:p w14:paraId="71C426EB">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附件3：创客马拉松-前期调研主题</w:t>
      </w:r>
    </w:p>
    <w:p w14:paraId="1E7F2B28">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附件4：项目申报书</w:t>
      </w:r>
    </w:p>
    <w:p w14:paraId="05E5E8A2">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附件</w:t>
      </w:r>
      <w:r>
        <w:rPr>
          <w:rFonts w:hint="eastAsia" w:asciiTheme="minorEastAsia" w:hAnsiTheme="minorEastAsia" w:cstheme="minorEastAsia"/>
          <w:b w:val="0"/>
          <w:bCs w:val="0"/>
          <w:sz w:val="24"/>
          <w:szCs w:val="24"/>
          <w:lang w:val="en-US" w:eastAsia="zh-CN"/>
        </w:rPr>
        <w:t>5</w:t>
      </w:r>
      <w:r>
        <w:rPr>
          <w:rFonts w:hint="eastAsia" w:asciiTheme="minorEastAsia" w:hAnsiTheme="minorEastAsia" w:eastAsiaTheme="minorEastAsia" w:cstheme="minorEastAsia"/>
          <w:b w:val="0"/>
          <w:bCs w:val="0"/>
          <w:sz w:val="24"/>
          <w:szCs w:val="24"/>
          <w:lang w:val="en-US" w:eastAsia="zh-CN"/>
        </w:rPr>
        <w:t>：区赛报名表</w:t>
      </w:r>
    </w:p>
    <w:p w14:paraId="40E2D6D3">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p>
    <w:p w14:paraId="0A890BCA">
      <w:pPr>
        <w:keepNext w:val="0"/>
        <w:keepLines w:val="0"/>
        <w:pageBreakBefore w:val="0"/>
        <w:kinsoku/>
        <w:wordWrap/>
        <w:overflowPunct/>
        <w:topLinePunct w:val="0"/>
        <w:autoSpaceDE/>
        <w:autoSpaceDN/>
        <w:bidi w:val="0"/>
        <w:spacing w:line="340" w:lineRule="exact"/>
        <w:ind w:firstLine="240" w:firstLineChars="100"/>
        <w:jc w:val="both"/>
        <w:textAlignment w:val="auto"/>
        <w:rPr>
          <w:rFonts w:hint="eastAsia" w:asciiTheme="minorEastAsia" w:hAnsiTheme="minorEastAsia" w:eastAsiaTheme="minorEastAsia" w:cstheme="minorEastAsia"/>
          <w:b w:val="0"/>
          <w:bCs w:val="0"/>
          <w:color w:val="auto"/>
          <w:kern w:val="0"/>
          <w:sz w:val="24"/>
          <w:szCs w:val="24"/>
          <w:shd w:val="clear" w:color="auto" w:fill="FFFFFF"/>
          <w:lang w:val="en-US" w:eastAsia="zh-CN" w:bidi="ar"/>
        </w:rPr>
      </w:pPr>
    </w:p>
    <w:p w14:paraId="254E2CCE">
      <w:pPr>
        <w:keepNext w:val="0"/>
        <w:keepLines w:val="0"/>
        <w:pageBreakBefore w:val="0"/>
        <w:kinsoku/>
        <w:wordWrap/>
        <w:overflowPunct/>
        <w:topLinePunct w:val="0"/>
        <w:autoSpaceDE/>
        <w:autoSpaceDN/>
        <w:bidi w:val="0"/>
        <w:spacing w:line="340" w:lineRule="exact"/>
        <w:ind w:firstLine="240" w:firstLineChars="100"/>
        <w:jc w:val="both"/>
        <w:textAlignment w:val="auto"/>
        <w:rPr>
          <w:rFonts w:hint="eastAsia" w:asciiTheme="minorEastAsia" w:hAnsiTheme="minorEastAsia" w:eastAsiaTheme="minorEastAsia" w:cstheme="minorEastAsia"/>
          <w:b w:val="0"/>
          <w:bCs w:val="0"/>
          <w:color w:val="auto"/>
          <w:kern w:val="0"/>
          <w:sz w:val="24"/>
          <w:szCs w:val="24"/>
          <w:shd w:val="clear" w:color="auto" w:fill="FFFFFF"/>
          <w:lang w:val="en-US" w:eastAsia="zh-CN" w:bidi="ar"/>
        </w:rPr>
      </w:pPr>
    </w:p>
    <w:p w14:paraId="7AF5C05B">
      <w:pPr>
        <w:keepNext w:val="0"/>
        <w:keepLines w:val="0"/>
        <w:pageBreakBefore w:val="0"/>
        <w:kinsoku/>
        <w:wordWrap/>
        <w:overflowPunct/>
        <w:topLinePunct w:val="0"/>
        <w:autoSpaceDE/>
        <w:autoSpaceDN/>
        <w:bidi w:val="0"/>
        <w:spacing w:line="340" w:lineRule="exact"/>
        <w:ind w:firstLine="480" w:firstLineChars="200"/>
        <w:jc w:val="right"/>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奉贤区青少年活动中心</w:t>
      </w:r>
    </w:p>
    <w:p w14:paraId="12AE480E">
      <w:pPr>
        <w:keepNext w:val="0"/>
        <w:keepLines w:val="0"/>
        <w:pageBreakBefore w:val="0"/>
        <w:kinsoku/>
        <w:wordWrap/>
        <w:overflowPunct/>
        <w:topLinePunct w:val="0"/>
        <w:autoSpaceDE/>
        <w:autoSpaceDN/>
        <w:bidi w:val="0"/>
        <w:spacing w:line="340" w:lineRule="exact"/>
        <w:ind w:firstLine="480" w:firstLineChars="200"/>
        <w:jc w:val="right"/>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202</w:t>
      </w:r>
      <w:r>
        <w:rPr>
          <w:rFonts w:hint="eastAsia" w:asciiTheme="minorEastAsia" w:hAnsiTheme="minorEastAsia" w:cstheme="minorEastAsia"/>
          <w:b w:val="0"/>
          <w:bCs w:val="0"/>
          <w:sz w:val="24"/>
          <w:szCs w:val="24"/>
          <w:lang w:val="en-US" w:eastAsia="zh-CN"/>
        </w:rPr>
        <w:t>5</w:t>
      </w:r>
      <w:r>
        <w:rPr>
          <w:rFonts w:hint="eastAsia" w:asciiTheme="minorEastAsia" w:hAnsiTheme="minorEastAsia" w:eastAsiaTheme="minorEastAsia" w:cstheme="minorEastAsia"/>
          <w:b w:val="0"/>
          <w:bCs w:val="0"/>
          <w:sz w:val="24"/>
          <w:szCs w:val="24"/>
          <w:lang w:val="en-US" w:eastAsia="zh-CN"/>
        </w:rPr>
        <w:t>年3月</w:t>
      </w:r>
      <w:r>
        <w:rPr>
          <w:rFonts w:hint="eastAsia" w:asciiTheme="minorEastAsia" w:hAnsiTheme="minorEastAsia" w:cstheme="minorEastAsia"/>
          <w:b w:val="0"/>
          <w:bCs w:val="0"/>
          <w:sz w:val="24"/>
          <w:szCs w:val="24"/>
          <w:lang w:val="en-US" w:eastAsia="zh-CN"/>
        </w:rPr>
        <w:t>4</w:t>
      </w:r>
      <w:r>
        <w:rPr>
          <w:rFonts w:hint="eastAsia" w:asciiTheme="minorEastAsia" w:hAnsiTheme="minorEastAsia" w:eastAsiaTheme="minorEastAsia" w:cstheme="minorEastAsia"/>
          <w:b w:val="0"/>
          <w:bCs w:val="0"/>
          <w:sz w:val="24"/>
          <w:szCs w:val="24"/>
          <w:lang w:val="en-US" w:eastAsia="zh-CN"/>
        </w:rPr>
        <w:t>日</w:t>
      </w:r>
    </w:p>
    <w:sectPr>
      <w:footerReference r:id="rId3" w:type="default"/>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923E8">
    <w:pPr>
      <w:pStyle w:val="3"/>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v:imagedata o:title=""/>
          <o:lock v:ext="edit" aspectratio="f"/>
          <v:textbox inset="0mm,0mm,0mm,0mm" style="mso-fit-shape-to-text:t;">
            <w:txbxContent>
              <w:p w14:paraId="3D918D91">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82EC9A"/>
    <w:multiLevelType w:val="singleLevel"/>
    <w:tmpl w:val="8782EC9A"/>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hhY2RjYjY3NmJkZmNhYjNiODBhZTBjNDg0YjQyNWMifQ=="/>
  </w:docVars>
  <w:rsids>
    <w:rsidRoot w:val="4FC70338"/>
    <w:rsid w:val="00480930"/>
    <w:rsid w:val="005C2FC6"/>
    <w:rsid w:val="00957C93"/>
    <w:rsid w:val="00AC03D3"/>
    <w:rsid w:val="0100390C"/>
    <w:rsid w:val="0169103E"/>
    <w:rsid w:val="01CF3935"/>
    <w:rsid w:val="023412EB"/>
    <w:rsid w:val="023D1596"/>
    <w:rsid w:val="037076E3"/>
    <w:rsid w:val="03F841C5"/>
    <w:rsid w:val="04245B63"/>
    <w:rsid w:val="04C64E6C"/>
    <w:rsid w:val="04C747C7"/>
    <w:rsid w:val="051A6F66"/>
    <w:rsid w:val="056D794C"/>
    <w:rsid w:val="06D564A9"/>
    <w:rsid w:val="07554E97"/>
    <w:rsid w:val="0792268E"/>
    <w:rsid w:val="07BD65C2"/>
    <w:rsid w:val="0892331A"/>
    <w:rsid w:val="08AA0601"/>
    <w:rsid w:val="08D15B8E"/>
    <w:rsid w:val="09047238"/>
    <w:rsid w:val="0B1C5756"/>
    <w:rsid w:val="0BA62F3F"/>
    <w:rsid w:val="0E790797"/>
    <w:rsid w:val="0EEA5BFB"/>
    <w:rsid w:val="109C2090"/>
    <w:rsid w:val="114F3AFC"/>
    <w:rsid w:val="116972AB"/>
    <w:rsid w:val="11CE78E6"/>
    <w:rsid w:val="11E20E0C"/>
    <w:rsid w:val="13225923"/>
    <w:rsid w:val="15A22D8C"/>
    <w:rsid w:val="15E511AF"/>
    <w:rsid w:val="16060090"/>
    <w:rsid w:val="160B6B83"/>
    <w:rsid w:val="1632227C"/>
    <w:rsid w:val="169D2587"/>
    <w:rsid w:val="16B61736"/>
    <w:rsid w:val="16F75359"/>
    <w:rsid w:val="17CB3A9F"/>
    <w:rsid w:val="18E86D07"/>
    <w:rsid w:val="190B7F94"/>
    <w:rsid w:val="192307C9"/>
    <w:rsid w:val="19355CC5"/>
    <w:rsid w:val="198A08D1"/>
    <w:rsid w:val="1AD119F6"/>
    <w:rsid w:val="1C7B4FFA"/>
    <w:rsid w:val="1C8C2ABD"/>
    <w:rsid w:val="1CFC12F1"/>
    <w:rsid w:val="1E2F6B3B"/>
    <w:rsid w:val="1ED707C6"/>
    <w:rsid w:val="1F5F3A2B"/>
    <w:rsid w:val="20270A5D"/>
    <w:rsid w:val="20485E65"/>
    <w:rsid w:val="20F10E96"/>
    <w:rsid w:val="21410E4A"/>
    <w:rsid w:val="22394A78"/>
    <w:rsid w:val="224662E0"/>
    <w:rsid w:val="22910410"/>
    <w:rsid w:val="240A3639"/>
    <w:rsid w:val="251415DE"/>
    <w:rsid w:val="252B269C"/>
    <w:rsid w:val="25496D80"/>
    <w:rsid w:val="25945AC9"/>
    <w:rsid w:val="25B26AA9"/>
    <w:rsid w:val="26375CFF"/>
    <w:rsid w:val="26D82702"/>
    <w:rsid w:val="27385997"/>
    <w:rsid w:val="28551EE0"/>
    <w:rsid w:val="28D164E6"/>
    <w:rsid w:val="290B259E"/>
    <w:rsid w:val="29F93887"/>
    <w:rsid w:val="2A0C585B"/>
    <w:rsid w:val="2A650DDD"/>
    <w:rsid w:val="2BBD7ADF"/>
    <w:rsid w:val="2BD541EE"/>
    <w:rsid w:val="2BDF3324"/>
    <w:rsid w:val="2C697D08"/>
    <w:rsid w:val="2CBC252D"/>
    <w:rsid w:val="2D603D17"/>
    <w:rsid w:val="2D93624A"/>
    <w:rsid w:val="2DD901D7"/>
    <w:rsid w:val="2EC706DF"/>
    <w:rsid w:val="2F5712F6"/>
    <w:rsid w:val="2F6F1AD9"/>
    <w:rsid w:val="2F996B56"/>
    <w:rsid w:val="2FEB343A"/>
    <w:rsid w:val="312A7F39"/>
    <w:rsid w:val="31827107"/>
    <w:rsid w:val="31CD333E"/>
    <w:rsid w:val="3291566D"/>
    <w:rsid w:val="332E3E3F"/>
    <w:rsid w:val="33F20F2A"/>
    <w:rsid w:val="34947466"/>
    <w:rsid w:val="35CF6F11"/>
    <w:rsid w:val="36106AB7"/>
    <w:rsid w:val="379C1DA5"/>
    <w:rsid w:val="392C0A3B"/>
    <w:rsid w:val="39D9759F"/>
    <w:rsid w:val="3ABF660B"/>
    <w:rsid w:val="3BEF5D14"/>
    <w:rsid w:val="3C0B2B89"/>
    <w:rsid w:val="3C4B0420"/>
    <w:rsid w:val="3C671681"/>
    <w:rsid w:val="3D087187"/>
    <w:rsid w:val="3D7A66AB"/>
    <w:rsid w:val="3DC6517C"/>
    <w:rsid w:val="3DE6565C"/>
    <w:rsid w:val="3E8F7AA2"/>
    <w:rsid w:val="3EBA6D39"/>
    <w:rsid w:val="3F32042D"/>
    <w:rsid w:val="3F66330A"/>
    <w:rsid w:val="402D6695"/>
    <w:rsid w:val="43D42BB6"/>
    <w:rsid w:val="460712D5"/>
    <w:rsid w:val="467F22DF"/>
    <w:rsid w:val="480F755D"/>
    <w:rsid w:val="49FA51FC"/>
    <w:rsid w:val="4A0C2BC6"/>
    <w:rsid w:val="4A256CB5"/>
    <w:rsid w:val="4ACB1C72"/>
    <w:rsid w:val="4B2D30CB"/>
    <w:rsid w:val="4BA5266F"/>
    <w:rsid w:val="4D7631D9"/>
    <w:rsid w:val="4E0247DD"/>
    <w:rsid w:val="4FC70338"/>
    <w:rsid w:val="50115D18"/>
    <w:rsid w:val="50697A27"/>
    <w:rsid w:val="51044E24"/>
    <w:rsid w:val="51D933C0"/>
    <w:rsid w:val="51EC30DF"/>
    <w:rsid w:val="52857C48"/>
    <w:rsid w:val="54934836"/>
    <w:rsid w:val="54FF6E59"/>
    <w:rsid w:val="573072A0"/>
    <w:rsid w:val="575E11BA"/>
    <w:rsid w:val="583E2DAC"/>
    <w:rsid w:val="59A77CC9"/>
    <w:rsid w:val="5F187075"/>
    <w:rsid w:val="5F681F1D"/>
    <w:rsid w:val="5FDD7C08"/>
    <w:rsid w:val="5FEB210E"/>
    <w:rsid w:val="60374DF6"/>
    <w:rsid w:val="60812E32"/>
    <w:rsid w:val="61A4208F"/>
    <w:rsid w:val="62146AA6"/>
    <w:rsid w:val="63646EA5"/>
    <w:rsid w:val="63C7646C"/>
    <w:rsid w:val="6411656A"/>
    <w:rsid w:val="64E11038"/>
    <w:rsid w:val="64EC0EFA"/>
    <w:rsid w:val="657134DB"/>
    <w:rsid w:val="658A426F"/>
    <w:rsid w:val="664E2910"/>
    <w:rsid w:val="67031E97"/>
    <w:rsid w:val="673A7BA1"/>
    <w:rsid w:val="67DC62F5"/>
    <w:rsid w:val="67F75CD2"/>
    <w:rsid w:val="69BD01BB"/>
    <w:rsid w:val="69CC0576"/>
    <w:rsid w:val="6A2174EC"/>
    <w:rsid w:val="6AC344AB"/>
    <w:rsid w:val="6AFE1987"/>
    <w:rsid w:val="6B8D6867"/>
    <w:rsid w:val="6BC95AF1"/>
    <w:rsid w:val="6C5850C7"/>
    <w:rsid w:val="6C62548B"/>
    <w:rsid w:val="6C98090C"/>
    <w:rsid w:val="6CB347D0"/>
    <w:rsid w:val="6D391F3F"/>
    <w:rsid w:val="6D661F46"/>
    <w:rsid w:val="6D771052"/>
    <w:rsid w:val="6E5711BD"/>
    <w:rsid w:val="6E985BB2"/>
    <w:rsid w:val="6F400060"/>
    <w:rsid w:val="6F6D70DC"/>
    <w:rsid w:val="6F8712E3"/>
    <w:rsid w:val="6F9957DB"/>
    <w:rsid w:val="704E5A4D"/>
    <w:rsid w:val="716A585F"/>
    <w:rsid w:val="71AA1481"/>
    <w:rsid w:val="71BC3A02"/>
    <w:rsid w:val="7208370E"/>
    <w:rsid w:val="725176B6"/>
    <w:rsid w:val="73716F4F"/>
    <w:rsid w:val="742B6313"/>
    <w:rsid w:val="74530F58"/>
    <w:rsid w:val="75306BE1"/>
    <w:rsid w:val="75EF3E75"/>
    <w:rsid w:val="77C1484A"/>
    <w:rsid w:val="78317B45"/>
    <w:rsid w:val="78450104"/>
    <w:rsid w:val="784F737E"/>
    <w:rsid w:val="78EB6EB4"/>
    <w:rsid w:val="79B164E4"/>
    <w:rsid w:val="7AA65250"/>
    <w:rsid w:val="7B5A3612"/>
    <w:rsid w:val="7CC3038D"/>
    <w:rsid w:val="7D1F7600"/>
    <w:rsid w:val="7E022D25"/>
    <w:rsid w:val="7EC73A89"/>
    <w:rsid w:val="7F6E616D"/>
    <w:rsid w:val="7FB23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3"/>
    <w:autoRedefine/>
    <w:qFormat/>
    <w:uiPriority w:val="0"/>
    <w:pPr>
      <w:tabs>
        <w:tab w:val="center" w:pos="4153"/>
        <w:tab w:val="right" w:pos="8306"/>
      </w:tabs>
      <w:snapToGrid w:val="0"/>
      <w:jc w:val="left"/>
    </w:pPr>
    <w:rPr>
      <w:sz w:val="18"/>
      <w:szCs w:val="18"/>
    </w:rPr>
  </w:style>
  <w:style w:type="paragraph" w:styleId="4">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spacing w:beforeAutospacing="1" w:afterAutospacing="1"/>
      <w:jc w:val="left"/>
    </w:pPr>
    <w:rPr>
      <w:rFonts w:cs="Times New Roman"/>
      <w:kern w:val="0"/>
      <w:sz w:val="24"/>
    </w:rPr>
  </w:style>
  <w:style w:type="table" w:styleId="7">
    <w:name w:val="Table Grid"/>
    <w:basedOn w:val="6"/>
    <w:autoRedefine/>
    <w:semiHidden/>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autoRedefine/>
    <w:qFormat/>
    <w:uiPriority w:val="0"/>
    <w:rPr>
      <w:b/>
    </w:rPr>
  </w:style>
  <w:style w:type="character" w:styleId="10">
    <w:name w:val="Hyperlink"/>
    <w:autoRedefine/>
    <w:unhideWhenUsed/>
    <w:qFormat/>
    <w:uiPriority w:val="99"/>
    <w:rPr>
      <w:color w:val="0000FF"/>
      <w:u w:val="single"/>
    </w:rPr>
  </w:style>
  <w:style w:type="paragraph" w:styleId="11">
    <w:name w:val="List Paragraph"/>
    <w:basedOn w:val="1"/>
    <w:autoRedefine/>
    <w:qFormat/>
    <w:uiPriority w:val="0"/>
    <w:pPr>
      <w:ind w:firstLine="420" w:firstLineChars="200"/>
    </w:pPr>
  </w:style>
  <w:style w:type="character" w:customStyle="1" w:styleId="12">
    <w:name w:val="页眉 Char"/>
    <w:basedOn w:val="8"/>
    <w:link w:val="4"/>
    <w:autoRedefine/>
    <w:qFormat/>
    <w:uiPriority w:val="0"/>
    <w:rPr>
      <w:kern w:val="2"/>
      <w:sz w:val="18"/>
      <w:szCs w:val="18"/>
    </w:rPr>
  </w:style>
  <w:style w:type="character" w:customStyle="1" w:styleId="13">
    <w:name w:val="页脚 Char"/>
    <w:basedOn w:val="8"/>
    <w:link w:val="3"/>
    <w:autoRedefine/>
    <w:qFormat/>
    <w:uiPriority w:val="0"/>
    <w:rPr>
      <w:kern w:val="2"/>
      <w:sz w:val="18"/>
      <w:szCs w:val="18"/>
    </w:rPr>
  </w:style>
  <w:style w:type="paragraph" w:customStyle="1" w:styleId="14">
    <w:name w:val="规程内容"/>
    <w:basedOn w:val="1"/>
    <w:autoRedefine/>
    <w:qFormat/>
    <w:uiPriority w:val="0"/>
    <w:pPr>
      <w:adjustRightInd w:val="0"/>
      <w:snapToGrid w:val="0"/>
      <w:spacing w:line="440" w:lineRule="exact"/>
      <w:ind w:firstLine="560" w:firstLineChars="200"/>
    </w:pPr>
    <w:rPr>
      <w:rFonts w:ascii="仿宋" w:hAnsi="仿宋" w:eastAsia="仿宋" w:cs="Times New Roman"/>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1413</Words>
  <Characters>1485</Characters>
  <Lines>16</Lines>
  <Paragraphs>4</Paragraphs>
  <TotalTime>103</TotalTime>
  <ScaleCrop>false</ScaleCrop>
  <LinksUpToDate>false</LinksUpToDate>
  <CharactersWithSpaces>1530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2021-03-09T03:25:00Z</dcterms:created>
  <dc:creator>janet_w_121</dc:creator>
  <cp:lastModifiedBy>蝈蝈</cp:lastModifiedBy>
  <cp:lastPrinted>2024-02-24T07:37:00Z</cp:lastPrinted>
  <dcterms:modified xsi:type="dcterms:W3CDTF">2025-03-05T03:20:48Z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1735152326934453AB4CD7E0F8BDCB36_13</vt:lpwstr>
  </property>
  <property fmtid="{D5CDD505-2E9C-101B-9397-08002B2CF9AE}" pid="4" name="KSOTemplateDocerSaveRecord">
    <vt:lpwstr>eyJoZGlkIjoiNjIzZDQxNjgzZWI2MjMzOWI3MWQ3Y2ZkN2EyMzhhMDMiLCJ1c2VySWQiOiI0MzUzNzY4MjEifQ==</vt:lpwstr>
  </property>
</Properties>
</file>