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Times New Roman"/>
          <w:b/>
          <w:sz w:val="28"/>
          <w:szCs w:val="24"/>
        </w:rPr>
      </w:pPr>
      <w:r>
        <w:rPr>
          <w:rFonts w:hint="eastAsia" w:ascii="宋体" w:hAnsi="宋体" w:eastAsia="宋体" w:cs="Times New Roman"/>
          <w:b/>
          <w:sz w:val="28"/>
          <w:szCs w:val="24"/>
        </w:rPr>
        <w:t>幼儿创客教育活动体验活动通知</w:t>
      </w:r>
    </w:p>
    <w:p>
      <w:pPr>
        <w:spacing w:line="360" w:lineRule="auto"/>
        <w:rPr>
          <w:rFonts w:ascii="宋体" w:hAnsi="宋体" w:eastAsia="宋体" w:cs="Times New Roman"/>
          <w:sz w:val="24"/>
          <w:szCs w:val="24"/>
        </w:rPr>
      </w:pPr>
      <w:r>
        <w:rPr>
          <w:rFonts w:hint="eastAsia" w:ascii="宋体" w:hAnsi="宋体" w:eastAsia="宋体" w:cs="Times New Roman"/>
          <w:b/>
          <w:sz w:val="24"/>
          <w:szCs w:val="24"/>
        </w:rPr>
        <w:t>时间：</w:t>
      </w:r>
      <w:r>
        <w:rPr>
          <w:rFonts w:hint="eastAsia" w:ascii="宋体" w:hAnsi="宋体" w:eastAsia="宋体" w:cs="Times New Roman"/>
          <w:sz w:val="24"/>
          <w:szCs w:val="24"/>
        </w:rPr>
        <w:t>2023年4月6日（星期四）下午13：30</w:t>
      </w:r>
    </w:p>
    <w:p>
      <w:pPr>
        <w:spacing w:line="360" w:lineRule="auto"/>
        <w:rPr>
          <w:rFonts w:ascii="宋体" w:hAnsi="宋体" w:eastAsia="宋体" w:cs="Times New Roman"/>
          <w:sz w:val="24"/>
          <w:szCs w:val="24"/>
        </w:rPr>
      </w:pPr>
      <w:r>
        <w:rPr>
          <w:rFonts w:hint="eastAsia" w:ascii="宋体" w:hAnsi="宋体" w:eastAsia="宋体" w:cs="Times New Roman"/>
          <w:b/>
          <w:sz w:val="24"/>
          <w:szCs w:val="24"/>
        </w:rPr>
        <w:t>地点：</w:t>
      </w:r>
      <w:r>
        <w:rPr>
          <w:rFonts w:hint="eastAsia" w:ascii="宋体" w:hAnsi="宋体" w:eastAsia="宋体" w:cs="Times New Roman"/>
          <w:sz w:val="24"/>
          <w:szCs w:val="24"/>
        </w:rPr>
        <w:t>聚贤幼儿园</w:t>
      </w:r>
    </w:p>
    <w:p>
      <w:pPr>
        <w:spacing w:line="360" w:lineRule="auto"/>
        <w:rPr>
          <w:rFonts w:ascii="宋体" w:hAnsi="宋体" w:eastAsia="宋体" w:cs="Times New Roman"/>
          <w:sz w:val="24"/>
          <w:szCs w:val="24"/>
        </w:rPr>
      </w:pPr>
      <w:r>
        <w:rPr>
          <w:rFonts w:hint="eastAsia" w:ascii="宋体" w:hAnsi="宋体" w:eastAsia="宋体" w:cs="Times New Roman"/>
          <w:b/>
          <w:sz w:val="24"/>
          <w:szCs w:val="24"/>
        </w:rPr>
        <w:t>内容：</w:t>
      </w:r>
      <w:r>
        <w:rPr>
          <w:rFonts w:hint="eastAsia" w:ascii="宋体" w:hAnsi="宋体" w:eastAsia="宋体" w:cs="Times New Roman"/>
          <w:sz w:val="24"/>
          <w:szCs w:val="24"/>
        </w:rPr>
        <w:t>幼儿创客教育活动体验</w:t>
      </w:r>
    </w:p>
    <w:p>
      <w:pPr>
        <w:spacing w:line="360" w:lineRule="auto"/>
        <w:rPr>
          <w:rFonts w:ascii="宋体" w:hAnsi="宋体" w:eastAsia="宋体" w:cs="Times New Roman"/>
          <w:sz w:val="24"/>
          <w:szCs w:val="24"/>
        </w:rPr>
      </w:pPr>
      <w:r>
        <w:rPr>
          <w:rFonts w:hint="eastAsia" w:ascii="宋体" w:hAnsi="宋体" w:eastAsia="宋体" w:cs="Times New Roman"/>
          <w:b/>
          <w:sz w:val="24"/>
          <w:szCs w:val="24"/>
        </w:rPr>
        <w:t>参加对象：</w:t>
      </w:r>
      <w:r>
        <w:rPr>
          <w:rFonts w:hint="eastAsia" w:ascii="宋体" w:hAnsi="宋体" w:eastAsia="宋体" w:cs="Times New Roman"/>
          <w:sz w:val="24"/>
          <w:szCs w:val="24"/>
        </w:rPr>
        <w:t xml:space="preserve"> 智能机器人联合中心组幼儿学段成员及幼儿园相关指导教师</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742"/>
        <w:gridCol w:w="251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教育学院</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苏旭雯</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青少年活动中心</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瞿双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绿叶幼儿园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李佳</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金麦穗幼儿园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曹杰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柘林幼儿园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鲍元华</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育秀幼儿园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康丽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小森林幼儿园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沈彧文</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奉浦幼儿园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韩依楠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解放路幼儿园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高花</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青村幼儿园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陆宇晨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实验幼儿园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何顾燕</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金贝幼儿园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丁珊珊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海贝幼儿园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朱雯意</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美乐谷幼儿园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王苏林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金蔷薇幼儿园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夏永泉</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肖塘幼儿园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凌蔡旦丹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金棕榈幼儿园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顾周怡</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金阳幼儿园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俞丹娅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秦塘幼儿园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廖程程</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聚贤幼儿园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刘骧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海湾幼儿园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韩佳敏</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西渡幼儿园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潘萍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树园幼儿园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蔡晓青</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思齐幼儿园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邹璐瑶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阳光幼儿园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陈秀军</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金水苑幼儿园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曹兵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江海幼儿园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谢文卿</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金铃子幼儿园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育秀幼儿园</w:t>
            </w:r>
          </w:p>
        </w:tc>
        <w:tc>
          <w:tcPr>
            <w:tcW w:w="1742"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程君</w:t>
            </w:r>
          </w:p>
        </w:tc>
        <w:tc>
          <w:tcPr>
            <w:tcW w:w="251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树园幼儿园</w:t>
            </w:r>
          </w:p>
        </w:tc>
        <w:tc>
          <w:tcPr>
            <w:tcW w:w="1751" w:type="dxa"/>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沈培艺</w:t>
            </w:r>
          </w:p>
        </w:tc>
      </w:tr>
    </w:tbl>
    <w:p>
      <w:pPr>
        <w:spacing w:line="360" w:lineRule="auto"/>
        <w:rPr>
          <w:rFonts w:ascii="宋体" w:hAnsi="宋体" w:eastAsia="宋体"/>
          <w:sz w:val="24"/>
          <w:szCs w:val="24"/>
        </w:rPr>
      </w:pPr>
    </w:p>
    <w:p>
      <w:pPr>
        <w:spacing w:line="360" w:lineRule="auto"/>
        <w:jc w:val="center"/>
        <w:rPr>
          <w:rFonts w:ascii="宋体" w:hAnsi="宋体" w:eastAsia="宋体" w:cs="Times New Roman"/>
          <w:b/>
          <w:sz w:val="28"/>
          <w:szCs w:val="24"/>
        </w:rPr>
      </w:pPr>
      <w:r>
        <w:rPr>
          <w:rFonts w:hint="eastAsia" w:ascii="宋体" w:hAnsi="宋体" w:eastAsia="宋体" w:cs="Times New Roman"/>
          <w:b/>
          <w:sz w:val="28"/>
          <w:szCs w:val="24"/>
        </w:rPr>
        <w:t>奉贤区学校网络与信息安全工作自查通知</w:t>
      </w:r>
    </w:p>
    <w:p>
      <w:pPr>
        <w:spacing w:line="360" w:lineRule="auto"/>
        <w:rPr>
          <w:rFonts w:hint="eastAsia" w:ascii="宋体" w:hAnsi="宋体" w:eastAsia="宋体" w:cs="Times New Roman"/>
          <w:b/>
          <w:bCs/>
          <w:color w:val="0000FF"/>
          <w:sz w:val="24"/>
          <w:szCs w:val="24"/>
          <w:lang w:val="en-US" w:eastAsia="zh-CN"/>
        </w:rPr>
      </w:pPr>
      <w:r>
        <w:rPr>
          <w:rFonts w:hint="eastAsia" w:ascii="宋体" w:hAnsi="宋体" w:eastAsia="宋体" w:cs="Times New Roman"/>
          <w:sz w:val="24"/>
          <w:szCs w:val="24"/>
        </w:rPr>
        <w:t>各中小学、幼儿园、直属单位：</w:t>
      </w:r>
      <w:r>
        <w:rPr>
          <w:rFonts w:hint="eastAsia" w:ascii="宋体" w:hAnsi="宋体" w:eastAsia="宋体" w:cs="Times New Roman"/>
          <w:b/>
          <w:bCs/>
          <w:color w:val="0000FF"/>
          <w:sz w:val="24"/>
          <w:szCs w:val="24"/>
          <w:lang w:eastAsia="zh-CN"/>
        </w:rPr>
        <w:t>平辉落实</w:t>
      </w:r>
      <w:bookmarkStart w:id="1" w:name="_GoBack"/>
      <w:bookmarkEnd w:id="1"/>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为提高学校网络与信息安全意识，加强网络安全管理工作，奉贤区教育信息技术中心和奉贤区网安支队联合检查学校网络与信息安全工作，将在</w:t>
      </w:r>
      <w:r>
        <w:rPr>
          <w:rFonts w:hint="eastAsia" w:ascii="宋体" w:hAnsi="宋体" w:eastAsia="宋体" w:cs="Times New Roman"/>
          <w:color w:val="0000FF"/>
          <w:sz w:val="24"/>
          <w:szCs w:val="24"/>
        </w:rPr>
        <w:t>4月11、12日（具体以通知为准）入校抽查，</w:t>
      </w:r>
      <w:r>
        <w:rPr>
          <w:rFonts w:hint="eastAsia" w:ascii="宋体" w:hAnsi="宋体" w:eastAsia="宋体" w:cs="Times New Roman"/>
          <w:sz w:val="24"/>
          <w:szCs w:val="24"/>
        </w:rPr>
        <w:t>相关学校会提前一周通知，抽查情况将予以公示。各校根据学校现状先进行自查。各校自查后填写“奉贤区学校网络与信息安全检查自查表</w:t>
      </w:r>
      <w:r>
        <w:rPr>
          <w:rFonts w:ascii="宋体" w:hAnsi="宋体" w:eastAsia="宋体" w:cs="Times New Roman"/>
          <w:sz w:val="24"/>
          <w:szCs w:val="24"/>
        </w:rPr>
        <w:t>”</w:t>
      </w:r>
      <w:r>
        <w:rPr>
          <w:rFonts w:hint="eastAsia" w:ascii="宋体" w:hAnsi="宋体" w:eastAsia="宋体" w:cs="Times New Roman"/>
          <w:sz w:val="24"/>
          <w:szCs w:val="24"/>
        </w:rPr>
        <w:t>，打印盖章后以PDF文件发送邮件到：13482664110@163.com；截止日期：4月9日。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附：奉贤区学校网络与信息安全检查自查表</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076"/>
        <w:gridCol w:w="5162"/>
        <w:gridCol w:w="70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613" w:type="dxa"/>
            <w:gridSpan w:val="5"/>
            <w:vAlign w:val="center"/>
          </w:tcPr>
          <w:p>
            <w:pPr>
              <w:spacing w:line="360" w:lineRule="auto"/>
              <w:rPr>
                <w:rFonts w:ascii="宋体" w:hAnsi="宋体" w:eastAsia="宋体" w:cs="Times New Roman"/>
                <w:kern w:val="0"/>
                <w:sz w:val="22"/>
                <w:szCs w:val="24"/>
              </w:rPr>
            </w:pPr>
            <w:bookmarkStart w:id="0" w:name="_Hlk511724342"/>
            <w:r>
              <w:rPr>
                <w:rFonts w:hint="eastAsia" w:ascii="宋体" w:hAnsi="宋体" w:eastAsia="宋体" w:cs="Times New Roman"/>
                <w:kern w:val="0"/>
                <w:sz w:val="22"/>
                <w:szCs w:val="24"/>
              </w:rPr>
              <w:t>学校名称：（盖章）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序号</w:t>
            </w:r>
          </w:p>
        </w:tc>
        <w:tc>
          <w:tcPr>
            <w:tcW w:w="1076"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项目</w:t>
            </w:r>
          </w:p>
        </w:tc>
        <w:tc>
          <w:tcPr>
            <w:tcW w:w="5162"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内容</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分值</w:t>
            </w:r>
          </w:p>
        </w:tc>
        <w:tc>
          <w:tcPr>
            <w:tcW w:w="971"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restart"/>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环境</w:t>
            </w:r>
          </w:p>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（35分）</w:t>
            </w: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服务器和核心设备经UPS后供电</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jc w:val="center"/>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机房室温不超25度；</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jc w:val="center"/>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防雷、防静电、机柜接地</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6</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jc w:val="center"/>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消防设施、烟感、应急照明、视频监控</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8</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jc w:val="center"/>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温度计、湿度计</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4</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jc w:val="center"/>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门窗有防盗设施和门禁系统</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4</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jc w:val="center"/>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防辐射设备：隔壁有办公室或教室的机房应配有防辐射装置。</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3</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restart"/>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安全</w:t>
            </w:r>
          </w:p>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（25分）</w:t>
            </w: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对于重要的网络设备或系统保存至少半年的日志</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jc w:val="center"/>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安装正版操作系统和软件；系统补丁更新及时</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jc w:val="center"/>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网络终端安装杀毒软件，病毒库及时更新</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jc w:val="center"/>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服务器安全：账号（强密码）；安全防护（杀毒软件、防火墙等）；</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jc w:val="center"/>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数据安全（备份、容灾）</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restart"/>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资料</w:t>
            </w:r>
          </w:p>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（25分）</w:t>
            </w: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网络拓扑：机房网络拓扑图（最新）</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jc w:val="center"/>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制度上墙：机房管理制度、网络安全应急预案、网络安全工作领导小组、工作小组信息上墙</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8</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证书：机房管理员有网络安全证书或相关有效证书。</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2</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标签：所有设备和布线有标签，明确去向和用途。</w:t>
            </w:r>
          </w:p>
        </w:tc>
        <w:tc>
          <w:tcPr>
            <w:tcW w:w="700" w:type="dxa"/>
            <w:vAlign w:val="center"/>
          </w:tcPr>
          <w:p>
            <w:pPr>
              <w:spacing w:line="360" w:lineRule="auto"/>
              <w:jc w:val="center"/>
              <w:rPr>
                <w:rFonts w:ascii="宋体" w:hAnsi="宋体" w:eastAsia="宋体" w:cs="Times New Roman"/>
                <w:kern w:val="0"/>
                <w:sz w:val="22"/>
                <w:szCs w:val="24"/>
              </w:rPr>
            </w:pPr>
            <w:r>
              <w:rPr>
                <w:rFonts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机房管理台账：记录进出机房人员信息、机房温湿度记录和设备运行情况等</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restart"/>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户外大屏</w:t>
            </w:r>
          </w:p>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（15分）</w:t>
            </w: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大屏管理电脑间有视频监控操作过程</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2</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大屏管理电脑（单机、开机密码、安全防护、无任何多余软件，如：QQ、微信等）</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大屏使用记录（日期、内容、操作人、审核人）</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5</w:t>
            </w:r>
          </w:p>
        </w:tc>
        <w:tc>
          <w:tcPr>
            <w:tcW w:w="971" w:type="dxa"/>
            <w:vAlign w:val="center"/>
          </w:tcPr>
          <w:p>
            <w:pPr>
              <w:spacing w:line="360" w:lineRule="auto"/>
              <w:rPr>
                <w:rFonts w:ascii="宋体" w:hAnsi="宋体" w:eastAsia="宋体" w:cs="Times New Roman"/>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numPr>
                <w:ilvl w:val="0"/>
                <w:numId w:val="1"/>
              </w:numPr>
              <w:spacing w:line="360" w:lineRule="auto"/>
              <w:jc w:val="center"/>
              <w:rPr>
                <w:rFonts w:ascii="宋体" w:hAnsi="宋体" w:eastAsia="宋体" w:cs="Times New Roman"/>
                <w:kern w:val="0"/>
                <w:sz w:val="22"/>
                <w:szCs w:val="24"/>
              </w:rPr>
            </w:pPr>
          </w:p>
        </w:tc>
        <w:tc>
          <w:tcPr>
            <w:tcW w:w="1076" w:type="dxa"/>
            <w:vMerge w:val="continue"/>
            <w:vAlign w:val="center"/>
          </w:tcPr>
          <w:p>
            <w:pPr>
              <w:spacing w:line="360" w:lineRule="auto"/>
              <w:rPr>
                <w:rFonts w:ascii="宋体" w:hAnsi="宋体" w:eastAsia="宋体" w:cs="Times New Roman"/>
                <w:kern w:val="0"/>
                <w:sz w:val="22"/>
                <w:szCs w:val="24"/>
              </w:rPr>
            </w:pPr>
          </w:p>
        </w:tc>
        <w:tc>
          <w:tcPr>
            <w:tcW w:w="5162" w:type="dxa"/>
            <w:vAlign w:val="center"/>
          </w:tcPr>
          <w:p>
            <w:pPr>
              <w:spacing w:line="360" w:lineRule="auto"/>
              <w:rPr>
                <w:rFonts w:ascii="宋体" w:hAnsi="宋体" w:eastAsia="宋体" w:cs="Times New Roman"/>
                <w:kern w:val="0"/>
                <w:sz w:val="22"/>
                <w:szCs w:val="24"/>
              </w:rPr>
            </w:pPr>
            <w:r>
              <w:rPr>
                <w:rFonts w:hint="eastAsia" w:ascii="宋体" w:hAnsi="宋体" w:eastAsia="宋体" w:cs="Times New Roman"/>
                <w:kern w:val="0"/>
                <w:sz w:val="22"/>
                <w:szCs w:val="24"/>
              </w:rPr>
              <w:t>大屏无任何外接移动设备</w:t>
            </w:r>
          </w:p>
        </w:tc>
        <w:tc>
          <w:tcPr>
            <w:tcW w:w="700" w:type="dxa"/>
            <w:vAlign w:val="center"/>
          </w:tcPr>
          <w:p>
            <w:pPr>
              <w:spacing w:line="360" w:lineRule="auto"/>
              <w:jc w:val="center"/>
              <w:rPr>
                <w:rFonts w:ascii="宋体" w:hAnsi="宋体" w:eastAsia="宋体" w:cs="Times New Roman"/>
                <w:kern w:val="0"/>
                <w:sz w:val="22"/>
                <w:szCs w:val="24"/>
              </w:rPr>
            </w:pPr>
            <w:r>
              <w:rPr>
                <w:rFonts w:hint="eastAsia" w:ascii="宋体" w:hAnsi="宋体" w:eastAsia="宋体" w:cs="Times New Roman"/>
                <w:kern w:val="0"/>
                <w:sz w:val="22"/>
                <w:szCs w:val="24"/>
              </w:rPr>
              <w:t>3</w:t>
            </w:r>
          </w:p>
        </w:tc>
        <w:tc>
          <w:tcPr>
            <w:tcW w:w="971" w:type="dxa"/>
            <w:vAlign w:val="center"/>
          </w:tcPr>
          <w:p>
            <w:pPr>
              <w:spacing w:line="360" w:lineRule="auto"/>
              <w:rPr>
                <w:rFonts w:ascii="宋体" w:hAnsi="宋体" w:eastAsia="宋体" w:cs="Times New Roman"/>
                <w:kern w:val="0"/>
                <w:sz w:val="22"/>
                <w:szCs w:val="24"/>
              </w:rPr>
            </w:pPr>
          </w:p>
        </w:tc>
      </w:tr>
      <w:bookmarkEnd w:id="0"/>
    </w:tbl>
    <w:p>
      <w:pPr>
        <w:spacing w:line="360" w:lineRule="auto"/>
        <w:jc w:val="center"/>
        <w:rPr>
          <w:rFonts w:ascii="Times New Roman" w:hAnsi="Times New Roman" w:eastAsia="宋体" w:cs="Times New Roman"/>
          <w:b/>
          <w:bCs/>
          <w:sz w:val="28"/>
          <w:szCs w:val="24"/>
        </w:rPr>
      </w:pPr>
      <w:r>
        <w:rPr>
          <w:rFonts w:hint="eastAsia" w:ascii="Times New Roman" w:hAnsi="Times New Roman" w:eastAsia="宋体" w:cs="Times New Roman"/>
          <w:b/>
          <w:bCs/>
          <w:sz w:val="28"/>
          <w:szCs w:val="24"/>
        </w:rPr>
        <w:t>信息化常态调研通知</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时间：2023年4月7日（星期五）全天</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内容：西渡幼儿园、西渡小学信息化常态调研</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参加成员：信息中心教研员、秦塘幼儿园 凌蔡旦丹、思齐幼儿园 韩定</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地点：西渡幼儿园、西渡小学</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备注：请于</w:t>
      </w:r>
      <w:r>
        <w:rPr>
          <w:rFonts w:ascii="Times New Roman" w:hAnsi="Times New Roman" w:eastAsia="宋体" w:cs="Times New Roman"/>
          <w:sz w:val="24"/>
          <w:szCs w:val="24"/>
        </w:rPr>
        <w:t>8</w:t>
      </w:r>
      <w:r>
        <w:rPr>
          <w:rFonts w:hint="eastAsia" w:ascii="Times New Roman" w:hAnsi="Times New Roman" w:eastAsia="宋体" w:cs="Times New Roman"/>
          <w:sz w:val="24"/>
          <w:szCs w:val="24"/>
        </w:rPr>
        <w:t>:30教育学院门口集合</w:t>
      </w:r>
    </w:p>
    <w:p>
      <w:pPr>
        <w:spacing w:line="360" w:lineRule="auto"/>
        <w:ind w:firstLine="480" w:firstLineChars="200"/>
        <w:rPr>
          <w:rFonts w:ascii="宋体" w:hAnsi="宋体" w:eastAsia="宋体" w:cs="Times New Roman"/>
          <w:sz w:val="24"/>
          <w:szCs w:val="24"/>
        </w:rPr>
      </w:pPr>
    </w:p>
    <w:p>
      <w:pPr>
        <w:spacing w:line="360" w:lineRule="auto"/>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上海市奉贤区教育学院教育信息技术中心</w:t>
      </w:r>
    </w:p>
    <w:p>
      <w:pPr>
        <w:spacing w:line="360" w:lineRule="auto"/>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2023.3.29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FB5AF8"/>
    <w:multiLevelType w:val="multilevel"/>
    <w:tmpl w:val="49FB5A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DU0NmEyZjRkODFhOGQxMTBiYWI0NDUwNmY5MTgifQ=="/>
  </w:docVars>
  <w:rsids>
    <w:rsidRoot w:val="00EF0ED7"/>
    <w:rsid w:val="0019231F"/>
    <w:rsid w:val="001B4366"/>
    <w:rsid w:val="001D4291"/>
    <w:rsid w:val="00271711"/>
    <w:rsid w:val="002D5A86"/>
    <w:rsid w:val="002D6A29"/>
    <w:rsid w:val="004B0E1C"/>
    <w:rsid w:val="004C0EC5"/>
    <w:rsid w:val="00505F6F"/>
    <w:rsid w:val="005336C4"/>
    <w:rsid w:val="00584E41"/>
    <w:rsid w:val="005E2B03"/>
    <w:rsid w:val="00603B96"/>
    <w:rsid w:val="006350F6"/>
    <w:rsid w:val="00644A60"/>
    <w:rsid w:val="0072172B"/>
    <w:rsid w:val="008644F4"/>
    <w:rsid w:val="0088705E"/>
    <w:rsid w:val="009B7286"/>
    <w:rsid w:val="009D0A0D"/>
    <w:rsid w:val="00A046B3"/>
    <w:rsid w:val="00A06091"/>
    <w:rsid w:val="00A241E4"/>
    <w:rsid w:val="00A64DDA"/>
    <w:rsid w:val="00B74878"/>
    <w:rsid w:val="00B768A8"/>
    <w:rsid w:val="00B86AC9"/>
    <w:rsid w:val="00BC2193"/>
    <w:rsid w:val="00CF7E49"/>
    <w:rsid w:val="00E415B6"/>
    <w:rsid w:val="00EF0ED7"/>
    <w:rsid w:val="00F01EA9"/>
    <w:rsid w:val="00F74EAA"/>
    <w:rsid w:val="00FE37CA"/>
    <w:rsid w:val="34120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table" w:customStyle="1" w:styleId="9">
    <w:name w:val="网格型1"/>
    <w:basedOn w:val="4"/>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网格型2"/>
    <w:basedOn w:val="4"/>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1150</Words>
  <Characters>1199</Characters>
  <Lines>10</Lines>
  <Paragraphs>2</Paragraphs>
  <TotalTime>4</TotalTime>
  <ScaleCrop>false</ScaleCrop>
  <LinksUpToDate>false</LinksUpToDate>
  <CharactersWithSpaces>1202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2023-03-29T05:09:00Z</dcterms:created>
  <dc:creator>Am0</dc:creator>
  <cp:lastModifiedBy>闲鹤</cp:lastModifiedBy>
  <cp:lastPrinted>2023-03-07T05:16:00Z</cp:lastPrinted>
  <dcterms:modified xsi:type="dcterms:W3CDTF">2023-03-29T22:27:44Z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E3D8F69F2E9945C5988B9DFE59789B83</vt:lpwstr>
  </property>
</Properties>
</file>